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BD14" w14:textId="77777777" w:rsidR="00641054" w:rsidRDefault="00E657F5">
      <w:pPr>
        <w:autoSpaceDE/>
        <w:autoSpaceDN/>
        <w:adjustRightInd/>
        <w:spacing w:after="0"/>
        <w:jc w:val="left"/>
      </w:pPr>
      <w:r>
        <w:rPr>
          <w:noProof/>
        </w:rPr>
        <mc:AlternateContent>
          <mc:Choice Requires="wps">
            <w:drawing>
              <wp:anchor distT="0" distB="0" distL="114300" distR="114300" simplePos="0" relativeHeight="251658240" behindDoc="0" locked="0" layoutInCell="1" allowOverlap="1" wp14:anchorId="2807DEF8" wp14:editId="5101AA88">
                <wp:simplePos x="0" y="0"/>
                <wp:positionH relativeFrom="column">
                  <wp:posOffset>217805</wp:posOffset>
                </wp:positionH>
                <wp:positionV relativeFrom="paragraph">
                  <wp:posOffset>5133340</wp:posOffset>
                </wp:positionV>
                <wp:extent cx="6542405" cy="2193290"/>
                <wp:effectExtent l="0" t="0" r="0" b="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542405" cy="2193290"/>
                        </a:xfrm>
                        <a:prstGeom prst="rect">
                          <a:avLst/>
                        </a:prstGeom>
                        <a:noFill/>
                        <a:ln>
                          <a:noFill/>
                        </a:ln>
                      </wps:spPr>
                      <wps:txbx>
                        <w:txbxContent>
                          <w:p w14:paraId="7430F809" w14:textId="77777777" w:rsidR="00807337" w:rsidRDefault="00E657F5" w:rsidP="00A0563B">
                            <w:pPr>
                              <w:pStyle w:val="Title"/>
                              <w:rPr>
                                <w:rFonts w:ascii="Calibri" w:hAnsi="Calibri" w:cs="Calibri"/>
                                <w:bCs/>
                                <w:color w:val="000000"/>
                                <w:sz w:val="96"/>
                                <w:szCs w:val="96"/>
                              </w:rPr>
                            </w:pPr>
                            <w:r>
                              <w:rPr>
                                <w:rFonts w:ascii="Calibri" w:hAnsi="Calibri" w:cs="Calibri"/>
                                <w:bCs/>
                                <w:color w:val="000000"/>
                                <w:sz w:val="96"/>
                                <w:szCs w:val="96"/>
                              </w:rPr>
                              <w:t>Estate Road Specification</w:t>
                            </w:r>
                          </w:p>
                          <w:p w14:paraId="15A85BAC" w14:textId="56CEB4B7" w:rsidR="00807337" w:rsidRPr="00D810EB" w:rsidRDefault="00765D0C" w:rsidP="00D810EB">
                            <w:pPr>
                              <w:rPr>
                                <w:rFonts w:ascii="Calibri" w:hAnsi="Calibri" w:cs="Calibri"/>
                                <w:sz w:val="40"/>
                                <w:szCs w:val="40"/>
                              </w:rPr>
                            </w:pPr>
                            <w:r>
                              <w:rPr>
                                <w:rFonts w:ascii="Calibri" w:hAnsi="Calibri" w:cs="Calibri"/>
                                <w:sz w:val="40"/>
                                <w:szCs w:val="40"/>
                              </w:rPr>
                              <w:t>January 2023</w:t>
                            </w:r>
                          </w:p>
                          <w:p w14:paraId="76D18642" w14:textId="77777777" w:rsidR="00807337" w:rsidRDefault="00807337"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807DEF8" id="_x0000_t202" coordsize="21600,21600" o:spt="202" path="m,l,21600r21600,l21600,xe">
                <v:stroke joinstyle="miter"/>
                <v:path gradientshapeok="t" o:connecttype="rect"/>
              </v:shapetype>
              <v:shape id="Text Box 7" o:spid="_x0000_s1026" type="#_x0000_t202" style="position:absolute;margin-left:17.15pt;margin-top:404.2pt;width:515.15pt;height:17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" filled="f" stroked="f">
                <o:lock v:ext="edit" aspectratio="t" verticies="t" text="t" shapetype="t"/>
                <v:textbox>
                  <w:txbxContent>
                    <w:p w14:paraId="7430F809" w14:textId="77777777" w:rsidR="00807337" w:rsidRDefault="00E657F5" w:rsidP="00A0563B">
                      <w:pPr>
                        <w:pStyle w:val="Title"/>
                        <w:rPr>
                          <w:rFonts w:ascii="Calibri" w:hAnsi="Calibri" w:cs="Calibri"/>
                          <w:bCs/>
                          <w:color w:val="000000"/>
                          <w:sz w:val="96"/>
                          <w:szCs w:val="96"/>
                        </w:rPr>
                      </w:pPr>
                      <w:r>
                        <w:rPr>
                          <w:rFonts w:ascii="Calibri" w:hAnsi="Calibri" w:cs="Calibri"/>
                          <w:bCs/>
                          <w:color w:val="000000"/>
                          <w:sz w:val="96"/>
                          <w:szCs w:val="96"/>
                        </w:rPr>
                        <w:t>Estate Road Specification</w:t>
                      </w:r>
                    </w:p>
                    <w:p w14:paraId="15A85BAC" w14:textId="56CEB4B7" w:rsidR="00807337" w:rsidRPr="00D810EB" w:rsidRDefault="00765D0C" w:rsidP="00D810EB">
                      <w:pPr>
                        <w:rPr>
                          <w:rFonts w:ascii="Calibri" w:hAnsi="Calibri" w:cs="Calibri"/>
                          <w:sz w:val="40"/>
                          <w:szCs w:val="40"/>
                        </w:rPr>
                      </w:pPr>
                      <w:r>
                        <w:rPr>
                          <w:rFonts w:ascii="Calibri" w:hAnsi="Calibri" w:cs="Calibri"/>
                          <w:sz w:val="40"/>
                          <w:szCs w:val="40"/>
                        </w:rPr>
                        <w:t>January 2023</w:t>
                      </w:r>
                    </w:p>
                    <w:p w14:paraId="76D18642" w14:textId="77777777" w:rsidR="00807337" w:rsidRDefault="00807337" w:rsidP="00F5519A"/>
                  </w:txbxContent>
                </v:textbox>
              </v:shape>
            </w:pict>
          </mc:Fallback>
        </mc:AlternateContent>
      </w:r>
    </w:p>
    <w:p w14:paraId="4A9F6854" w14:textId="77777777" w:rsidR="00CA4C7E" w:rsidRPr="00CA4C7E" w:rsidRDefault="00CA4C7E" w:rsidP="00CA4C7E"/>
    <w:p w14:paraId="607243F8" w14:textId="77777777" w:rsidR="00CA4C7E" w:rsidRPr="00CA4C7E" w:rsidRDefault="00CA4C7E" w:rsidP="00CA4C7E"/>
    <w:p w14:paraId="1AA658B0" w14:textId="77777777" w:rsidR="00CA4C7E" w:rsidRPr="00CA4C7E" w:rsidRDefault="00CA4C7E" w:rsidP="00CA4C7E"/>
    <w:p w14:paraId="7AA5185F" w14:textId="77777777" w:rsidR="00CA4C7E" w:rsidRPr="00CA4C7E" w:rsidRDefault="00CA4C7E" w:rsidP="00CA4C7E"/>
    <w:p w14:paraId="2AA4FCCF" w14:textId="77777777" w:rsidR="00CA4C7E" w:rsidRPr="00CA4C7E" w:rsidRDefault="00CA4C7E" w:rsidP="00CA4C7E"/>
    <w:p w14:paraId="16835443" w14:textId="77777777" w:rsidR="00CA4C7E" w:rsidRPr="00CA4C7E" w:rsidRDefault="00CA4C7E" w:rsidP="00CA4C7E"/>
    <w:p w14:paraId="4744579F" w14:textId="77777777" w:rsidR="00CA4C7E" w:rsidRPr="00CA4C7E" w:rsidRDefault="00CA4C7E" w:rsidP="00CA4C7E"/>
    <w:p w14:paraId="23E23AF7" w14:textId="77777777" w:rsidR="00CA4C7E" w:rsidRPr="00CA4C7E" w:rsidRDefault="00CA4C7E" w:rsidP="00CA4C7E"/>
    <w:p w14:paraId="38FCE528" w14:textId="77777777" w:rsidR="00CA4C7E" w:rsidRPr="00CA4C7E" w:rsidRDefault="00CA4C7E" w:rsidP="00CA4C7E"/>
    <w:p w14:paraId="58EFF7B0" w14:textId="77777777" w:rsidR="00CA4C7E" w:rsidRPr="00CA4C7E" w:rsidRDefault="00CA4C7E" w:rsidP="00CA4C7E"/>
    <w:p w14:paraId="08FDF1B5" w14:textId="77777777" w:rsidR="00CA4C7E" w:rsidRPr="00CA4C7E" w:rsidRDefault="00CA4C7E" w:rsidP="00CA4C7E"/>
    <w:p w14:paraId="112E6D45" w14:textId="77777777" w:rsidR="00CA4C7E" w:rsidRPr="00CA4C7E" w:rsidRDefault="00CA4C7E" w:rsidP="00CA4C7E"/>
    <w:p w14:paraId="3D22B29A" w14:textId="77777777" w:rsidR="00CA4C7E" w:rsidRPr="00CA4C7E" w:rsidRDefault="00CA4C7E" w:rsidP="00CA4C7E"/>
    <w:p w14:paraId="772AA32C" w14:textId="77777777" w:rsidR="00CA4C7E" w:rsidRPr="00CA4C7E" w:rsidRDefault="00CA4C7E" w:rsidP="00CA4C7E"/>
    <w:p w14:paraId="39C2B809" w14:textId="77777777" w:rsidR="00CA4C7E" w:rsidRPr="00CA4C7E" w:rsidRDefault="00CA4C7E" w:rsidP="00CA4C7E"/>
    <w:p w14:paraId="7E1AFE38" w14:textId="77777777" w:rsidR="00CA4C7E" w:rsidRPr="00CA4C7E" w:rsidRDefault="00CA4C7E" w:rsidP="00CA4C7E"/>
    <w:p w14:paraId="6C979916" w14:textId="77777777" w:rsidR="00CA4C7E" w:rsidRPr="00CA4C7E" w:rsidRDefault="00CA4C7E" w:rsidP="00CA4C7E"/>
    <w:p w14:paraId="0ED8CCD1" w14:textId="77777777" w:rsidR="00CA4C7E" w:rsidRPr="00CA4C7E" w:rsidRDefault="00CA4C7E" w:rsidP="00CA4C7E"/>
    <w:p w14:paraId="2E363017" w14:textId="77777777" w:rsidR="00CA4C7E" w:rsidRPr="00CA4C7E" w:rsidRDefault="00CA4C7E" w:rsidP="00CA4C7E"/>
    <w:p w14:paraId="6FDFA4BD" w14:textId="77777777" w:rsidR="00CA4C7E" w:rsidRPr="00CA4C7E" w:rsidRDefault="00CA4C7E" w:rsidP="00CA4C7E"/>
    <w:p w14:paraId="71BFE450" w14:textId="77777777" w:rsidR="00CA4C7E" w:rsidRPr="00CA4C7E" w:rsidRDefault="00CA4C7E" w:rsidP="00CA4C7E"/>
    <w:p w14:paraId="69A6C26D" w14:textId="77777777" w:rsidR="00CA4C7E" w:rsidRPr="00CA4C7E" w:rsidRDefault="00CA4C7E" w:rsidP="00CA4C7E"/>
    <w:p w14:paraId="3D7DC90F" w14:textId="77777777" w:rsidR="00CA4C7E" w:rsidRPr="00CA4C7E" w:rsidRDefault="00CA4C7E" w:rsidP="00CA4C7E"/>
    <w:p w14:paraId="1D9708C9" w14:textId="77777777" w:rsidR="00CA4C7E" w:rsidRPr="00CA4C7E" w:rsidRDefault="00CA4C7E" w:rsidP="00CA4C7E"/>
    <w:p w14:paraId="4638D3AC" w14:textId="77777777" w:rsidR="00CA4C7E" w:rsidRPr="00CA4C7E" w:rsidRDefault="00CA4C7E" w:rsidP="00CA4C7E"/>
    <w:p w14:paraId="0D1D405C" w14:textId="77777777" w:rsidR="00CA4C7E" w:rsidRPr="00CA4C7E" w:rsidRDefault="00CA4C7E" w:rsidP="00CA4C7E"/>
    <w:p w14:paraId="363AB8DA" w14:textId="77777777" w:rsidR="00CA4C7E" w:rsidRPr="00CA4C7E" w:rsidRDefault="00CA4C7E" w:rsidP="00CA4C7E"/>
    <w:p w14:paraId="05D25C37" w14:textId="77777777" w:rsidR="00CA4C7E" w:rsidRPr="00CA4C7E" w:rsidRDefault="00CA4C7E" w:rsidP="00CA4C7E"/>
    <w:p w14:paraId="7228555C" w14:textId="77777777" w:rsidR="00CA4C7E" w:rsidRPr="00CA4C7E" w:rsidRDefault="00CA4C7E" w:rsidP="00CA4C7E"/>
    <w:p w14:paraId="105FB125" w14:textId="77777777" w:rsidR="00CA4C7E" w:rsidRPr="00CA4C7E" w:rsidRDefault="00CA4C7E" w:rsidP="00CA4C7E"/>
    <w:p w14:paraId="421BA2B2" w14:textId="77777777" w:rsidR="00CA4C7E" w:rsidRPr="00CA4C7E" w:rsidRDefault="00CA4C7E" w:rsidP="00CA4C7E">
      <w:pPr>
        <w:tabs>
          <w:tab w:val="left" w:pos="1880"/>
        </w:tabs>
        <w:sectPr w:rsidR="00CA4C7E" w:rsidRPr="00CA4C7E" w:rsidSect="00810BA6">
          <w:headerReference w:type="default" r:id="rId11"/>
          <w:footerReference w:type="default" r:id="rId12"/>
          <w:headerReference w:type="first" r:id="rId13"/>
          <w:footerReference w:type="first" r:id="rId14"/>
          <w:pgSz w:w="11900" w:h="16840" w:code="9"/>
          <w:pgMar w:top="720" w:right="720" w:bottom="720" w:left="720" w:header="709" w:footer="709" w:gutter="0"/>
          <w:cols w:space="292"/>
          <w:titlePg/>
          <w:docGrid w:linePitch="326"/>
        </w:sectPr>
      </w:pPr>
    </w:p>
    <w:p w14:paraId="393D60BB" w14:textId="77777777" w:rsidR="006D7BB1" w:rsidRDefault="00E657F5" w:rsidP="00C07CC6">
      <w:pPr>
        <w:pStyle w:val="TOCHeader"/>
        <w:rPr>
          <w:sz w:val="40"/>
          <w:szCs w:val="40"/>
        </w:rPr>
      </w:pPr>
      <w:bookmarkStart w:id="0" w:name="_Toc304199307"/>
      <w:r w:rsidRPr="00BD6097">
        <w:rPr>
          <w:sz w:val="40"/>
          <w:szCs w:val="40"/>
        </w:rPr>
        <w:lastRenderedPageBreak/>
        <w:t>Contents</w:t>
      </w:r>
    </w:p>
    <w:p w14:paraId="02B4A627" w14:textId="77777777" w:rsidR="00384EE4" w:rsidRDefault="00384EE4" w:rsidP="00C07CC6">
      <w:pPr>
        <w:pStyle w:val="TOCHeader"/>
        <w:rPr>
          <w:sz w:val="40"/>
          <w:szCs w:val="40"/>
        </w:rPr>
      </w:pPr>
    </w:p>
    <w:p w14:paraId="6756CCD4" w14:textId="77777777" w:rsidR="00F827A6" w:rsidRDefault="00E657F5">
      <w:pPr>
        <w:pStyle w:val="TOC1"/>
        <w:tabs>
          <w:tab w:val="right" w:leader="dot" w:pos="9010"/>
        </w:tabs>
        <w:rPr>
          <w:rFonts w:asciiTheme="minorHAnsi" w:eastAsiaTheme="minorEastAsia" w:hAnsiTheme="minorHAnsi" w:cstheme="minorBidi"/>
          <w:b w:val="0"/>
          <w:bCs w:val="0"/>
          <w:color w:val="auto"/>
          <w:sz w:val="22"/>
          <w:szCs w:val="22"/>
          <w:lang w:eastAsia="en-GB"/>
        </w:rPr>
      </w:pPr>
      <w:r>
        <w:rPr>
          <w:sz w:val="40"/>
          <w:szCs w:val="40"/>
        </w:rPr>
        <w:fldChar w:fldCharType="begin"/>
      </w:r>
      <w:r>
        <w:rPr>
          <w:sz w:val="40"/>
          <w:szCs w:val="40"/>
        </w:rPr>
        <w:instrText xml:space="preserve"> TOC \o "1-1" \h \z \u </w:instrText>
      </w:r>
      <w:r>
        <w:rPr>
          <w:sz w:val="40"/>
          <w:szCs w:val="40"/>
        </w:rPr>
        <w:fldChar w:fldCharType="separate"/>
      </w:r>
      <w:hyperlink w:anchor="_Toc123738089" w:history="1">
        <w:r w:rsidRPr="00F7563C">
          <w:rPr>
            <w:rStyle w:val="Hyperlink"/>
          </w:rPr>
          <w:t>Glossary of abbreviations</w:t>
        </w:r>
        <w:r>
          <w:rPr>
            <w:webHidden/>
          </w:rPr>
          <w:tab/>
        </w:r>
        <w:r>
          <w:rPr>
            <w:webHidden/>
          </w:rPr>
          <w:fldChar w:fldCharType="begin"/>
        </w:r>
        <w:r>
          <w:rPr>
            <w:webHidden/>
          </w:rPr>
          <w:instrText xml:space="preserve"> PAGEREF _Toc123738089 \h </w:instrText>
        </w:r>
        <w:r>
          <w:rPr>
            <w:webHidden/>
          </w:rPr>
        </w:r>
        <w:r>
          <w:rPr>
            <w:webHidden/>
          </w:rPr>
          <w:fldChar w:fldCharType="separate"/>
        </w:r>
        <w:r>
          <w:rPr>
            <w:webHidden/>
          </w:rPr>
          <w:t>3</w:t>
        </w:r>
        <w:r>
          <w:rPr>
            <w:webHidden/>
          </w:rPr>
          <w:fldChar w:fldCharType="end"/>
        </w:r>
      </w:hyperlink>
    </w:p>
    <w:p w14:paraId="07FCD6BC" w14:textId="77777777" w:rsidR="00F827A6" w:rsidRDefault="00765D0C">
      <w:pPr>
        <w:pStyle w:val="TOC1"/>
        <w:tabs>
          <w:tab w:val="left" w:pos="720"/>
          <w:tab w:val="right" w:leader="dot" w:pos="9010"/>
        </w:tabs>
        <w:rPr>
          <w:rFonts w:asciiTheme="minorHAnsi" w:eastAsiaTheme="minorEastAsia" w:hAnsiTheme="minorHAnsi" w:cstheme="minorBidi"/>
          <w:b w:val="0"/>
          <w:bCs w:val="0"/>
          <w:color w:val="auto"/>
          <w:sz w:val="22"/>
          <w:szCs w:val="22"/>
          <w:lang w:eastAsia="en-GB"/>
        </w:rPr>
      </w:pPr>
      <w:hyperlink w:anchor="_Toc123738090" w:history="1">
        <w:r w:rsidR="00E657F5" w:rsidRPr="00F7563C">
          <w:rPr>
            <w:rStyle w:val="Hyperlink"/>
          </w:rPr>
          <w:t>1</w:t>
        </w:r>
        <w:r w:rsidR="00E657F5">
          <w:rPr>
            <w:rFonts w:asciiTheme="minorHAnsi" w:eastAsiaTheme="minorEastAsia" w:hAnsiTheme="minorHAnsi" w:cstheme="minorBidi"/>
            <w:b w:val="0"/>
            <w:bCs w:val="0"/>
            <w:color w:val="auto"/>
            <w:sz w:val="22"/>
            <w:szCs w:val="22"/>
            <w:lang w:eastAsia="en-GB"/>
          </w:rPr>
          <w:tab/>
        </w:r>
        <w:r w:rsidR="00E657F5" w:rsidRPr="00F7563C">
          <w:rPr>
            <w:rStyle w:val="Hyperlink"/>
          </w:rPr>
          <w:t>General</w:t>
        </w:r>
        <w:r w:rsidR="00E657F5">
          <w:rPr>
            <w:webHidden/>
          </w:rPr>
          <w:tab/>
        </w:r>
        <w:r w:rsidR="00E657F5">
          <w:rPr>
            <w:webHidden/>
          </w:rPr>
          <w:fldChar w:fldCharType="begin"/>
        </w:r>
        <w:r w:rsidR="00E657F5">
          <w:rPr>
            <w:webHidden/>
          </w:rPr>
          <w:instrText xml:space="preserve"> PAGEREF _Toc123738090 \h </w:instrText>
        </w:r>
        <w:r w:rsidR="00E657F5">
          <w:rPr>
            <w:webHidden/>
          </w:rPr>
        </w:r>
        <w:r w:rsidR="00E657F5">
          <w:rPr>
            <w:webHidden/>
          </w:rPr>
          <w:fldChar w:fldCharType="separate"/>
        </w:r>
        <w:r w:rsidR="00E657F5">
          <w:rPr>
            <w:webHidden/>
          </w:rPr>
          <w:t>4</w:t>
        </w:r>
        <w:r w:rsidR="00E657F5">
          <w:rPr>
            <w:webHidden/>
          </w:rPr>
          <w:fldChar w:fldCharType="end"/>
        </w:r>
      </w:hyperlink>
    </w:p>
    <w:p w14:paraId="09C69C21" w14:textId="77777777" w:rsidR="00F827A6" w:rsidRDefault="00765D0C">
      <w:pPr>
        <w:pStyle w:val="TOC1"/>
        <w:tabs>
          <w:tab w:val="left" w:pos="720"/>
          <w:tab w:val="right" w:leader="dot" w:pos="9010"/>
        </w:tabs>
        <w:rPr>
          <w:rFonts w:asciiTheme="minorHAnsi" w:eastAsiaTheme="minorEastAsia" w:hAnsiTheme="minorHAnsi" w:cstheme="minorBidi"/>
          <w:b w:val="0"/>
          <w:bCs w:val="0"/>
          <w:color w:val="auto"/>
          <w:sz w:val="22"/>
          <w:szCs w:val="22"/>
          <w:lang w:eastAsia="en-GB"/>
        </w:rPr>
      </w:pPr>
      <w:hyperlink w:anchor="_Toc123738091" w:history="1">
        <w:r w:rsidR="00E657F5" w:rsidRPr="00F7563C">
          <w:rPr>
            <w:rStyle w:val="Hyperlink"/>
          </w:rPr>
          <w:t>2</w:t>
        </w:r>
        <w:r w:rsidR="00E657F5">
          <w:rPr>
            <w:rFonts w:asciiTheme="minorHAnsi" w:eastAsiaTheme="minorEastAsia" w:hAnsiTheme="minorHAnsi" w:cstheme="minorBidi"/>
            <w:b w:val="0"/>
            <w:bCs w:val="0"/>
            <w:color w:val="auto"/>
            <w:sz w:val="22"/>
            <w:szCs w:val="22"/>
            <w:lang w:eastAsia="en-GB"/>
          </w:rPr>
          <w:tab/>
        </w:r>
        <w:r w:rsidR="00E657F5" w:rsidRPr="00F7563C">
          <w:rPr>
            <w:rStyle w:val="Hyperlink"/>
          </w:rPr>
          <w:t>Cement, Mortar and Grout</w:t>
        </w:r>
        <w:r w:rsidR="00E657F5">
          <w:rPr>
            <w:webHidden/>
          </w:rPr>
          <w:tab/>
        </w:r>
        <w:r w:rsidR="00E657F5">
          <w:rPr>
            <w:webHidden/>
          </w:rPr>
          <w:fldChar w:fldCharType="begin"/>
        </w:r>
        <w:r w:rsidR="00E657F5">
          <w:rPr>
            <w:webHidden/>
          </w:rPr>
          <w:instrText xml:space="preserve"> PAGEREF _Toc123738091 \h </w:instrText>
        </w:r>
        <w:r w:rsidR="00E657F5">
          <w:rPr>
            <w:webHidden/>
          </w:rPr>
        </w:r>
        <w:r w:rsidR="00E657F5">
          <w:rPr>
            <w:webHidden/>
          </w:rPr>
          <w:fldChar w:fldCharType="separate"/>
        </w:r>
        <w:r w:rsidR="00E657F5">
          <w:rPr>
            <w:webHidden/>
          </w:rPr>
          <w:t>9</w:t>
        </w:r>
        <w:r w:rsidR="00E657F5">
          <w:rPr>
            <w:webHidden/>
          </w:rPr>
          <w:fldChar w:fldCharType="end"/>
        </w:r>
      </w:hyperlink>
    </w:p>
    <w:p w14:paraId="23604973" w14:textId="77777777" w:rsidR="00F827A6" w:rsidRDefault="00765D0C">
      <w:pPr>
        <w:pStyle w:val="TOC1"/>
        <w:tabs>
          <w:tab w:val="left" w:pos="720"/>
          <w:tab w:val="right" w:leader="dot" w:pos="9010"/>
        </w:tabs>
        <w:rPr>
          <w:rFonts w:asciiTheme="minorHAnsi" w:eastAsiaTheme="minorEastAsia" w:hAnsiTheme="minorHAnsi" w:cstheme="minorBidi"/>
          <w:b w:val="0"/>
          <w:bCs w:val="0"/>
          <w:color w:val="auto"/>
          <w:sz w:val="22"/>
          <w:szCs w:val="22"/>
          <w:lang w:eastAsia="en-GB"/>
        </w:rPr>
      </w:pPr>
      <w:hyperlink w:anchor="_Toc123738092" w:history="1">
        <w:r w:rsidR="00E657F5" w:rsidRPr="00F7563C">
          <w:rPr>
            <w:rStyle w:val="Hyperlink"/>
          </w:rPr>
          <w:t>3</w:t>
        </w:r>
        <w:r w:rsidR="00E657F5">
          <w:rPr>
            <w:rFonts w:asciiTheme="minorHAnsi" w:eastAsiaTheme="minorEastAsia" w:hAnsiTheme="minorHAnsi" w:cstheme="minorBidi"/>
            <w:b w:val="0"/>
            <w:bCs w:val="0"/>
            <w:color w:val="auto"/>
            <w:sz w:val="22"/>
            <w:szCs w:val="22"/>
            <w:lang w:eastAsia="en-GB"/>
          </w:rPr>
          <w:tab/>
        </w:r>
        <w:r w:rsidR="00E657F5" w:rsidRPr="00F7563C">
          <w:rPr>
            <w:rStyle w:val="Hyperlink"/>
          </w:rPr>
          <w:t>Highway Drainage</w:t>
        </w:r>
        <w:r w:rsidR="00E657F5">
          <w:rPr>
            <w:webHidden/>
          </w:rPr>
          <w:tab/>
        </w:r>
        <w:r w:rsidR="00E657F5">
          <w:rPr>
            <w:webHidden/>
          </w:rPr>
          <w:fldChar w:fldCharType="begin"/>
        </w:r>
        <w:r w:rsidR="00E657F5">
          <w:rPr>
            <w:webHidden/>
          </w:rPr>
          <w:instrText xml:space="preserve"> PAGEREF _Toc123738092 \h </w:instrText>
        </w:r>
        <w:r w:rsidR="00E657F5">
          <w:rPr>
            <w:webHidden/>
          </w:rPr>
        </w:r>
        <w:r w:rsidR="00E657F5">
          <w:rPr>
            <w:webHidden/>
          </w:rPr>
          <w:fldChar w:fldCharType="separate"/>
        </w:r>
        <w:r w:rsidR="00E657F5">
          <w:rPr>
            <w:webHidden/>
          </w:rPr>
          <w:t>12</w:t>
        </w:r>
        <w:r w:rsidR="00E657F5">
          <w:rPr>
            <w:webHidden/>
          </w:rPr>
          <w:fldChar w:fldCharType="end"/>
        </w:r>
      </w:hyperlink>
    </w:p>
    <w:p w14:paraId="3FEE81BE" w14:textId="77777777" w:rsidR="00F827A6" w:rsidRDefault="00765D0C">
      <w:pPr>
        <w:pStyle w:val="TOC1"/>
        <w:tabs>
          <w:tab w:val="left" w:pos="720"/>
          <w:tab w:val="right" w:leader="dot" w:pos="9010"/>
        </w:tabs>
        <w:rPr>
          <w:rFonts w:asciiTheme="minorHAnsi" w:eastAsiaTheme="minorEastAsia" w:hAnsiTheme="minorHAnsi" w:cstheme="minorBidi"/>
          <w:b w:val="0"/>
          <w:bCs w:val="0"/>
          <w:color w:val="auto"/>
          <w:sz w:val="22"/>
          <w:szCs w:val="22"/>
          <w:lang w:eastAsia="en-GB"/>
        </w:rPr>
      </w:pPr>
      <w:hyperlink w:anchor="_Toc123738093" w:history="1">
        <w:r w:rsidR="00E657F5" w:rsidRPr="00F7563C">
          <w:rPr>
            <w:rStyle w:val="Hyperlink"/>
          </w:rPr>
          <w:t>4</w:t>
        </w:r>
        <w:r w:rsidR="00E657F5">
          <w:rPr>
            <w:rFonts w:asciiTheme="minorHAnsi" w:eastAsiaTheme="minorEastAsia" w:hAnsiTheme="minorHAnsi" w:cstheme="minorBidi"/>
            <w:b w:val="0"/>
            <w:bCs w:val="0"/>
            <w:color w:val="auto"/>
            <w:sz w:val="22"/>
            <w:szCs w:val="22"/>
            <w:lang w:eastAsia="en-GB"/>
          </w:rPr>
          <w:tab/>
        </w:r>
        <w:r w:rsidR="00E657F5" w:rsidRPr="00F7563C">
          <w:rPr>
            <w:rStyle w:val="Hyperlink"/>
          </w:rPr>
          <w:t>Earthworks</w:t>
        </w:r>
        <w:r w:rsidR="00E657F5">
          <w:rPr>
            <w:webHidden/>
          </w:rPr>
          <w:tab/>
        </w:r>
        <w:r w:rsidR="00E657F5">
          <w:rPr>
            <w:webHidden/>
          </w:rPr>
          <w:fldChar w:fldCharType="begin"/>
        </w:r>
        <w:r w:rsidR="00E657F5">
          <w:rPr>
            <w:webHidden/>
          </w:rPr>
          <w:instrText xml:space="preserve"> PAGEREF _Toc123738093 \h </w:instrText>
        </w:r>
        <w:r w:rsidR="00E657F5">
          <w:rPr>
            <w:webHidden/>
          </w:rPr>
        </w:r>
        <w:r w:rsidR="00E657F5">
          <w:rPr>
            <w:webHidden/>
          </w:rPr>
          <w:fldChar w:fldCharType="separate"/>
        </w:r>
        <w:r w:rsidR="00E657F5">
          <w:rPr>
            <w:webHidden/>
          </w:rPr>
          <w:t>29</w:t>
        </w:r>
        <w:r w:rsidR="00E657F5">
          <w:rPr>
            <w:webHidden/>
          </w:rPr>
          <w:fldChar w:fldCharType="end"/>
        </w:r>
      </w:hyperlink>
    </w:p>
    <w:p w14:paraId="3BF41C02" w14:textId="77777777" w:rsidR="00F827A6" w:rsidRDefault="00765D0C">
      <w:pPr>
        <w:pStyle w:val="TOC1"/>
        <w:tabs>
          <w:tab w:val="left" w:pos="720"/>
          <w:tab w:val="right" w:leader="dot" w:pos="9010"/>
        </w:tabs>
        <w:rPr>
          <w:rFonts w:asciiTheme="minorHAnsi" w:eastAsiaTheme="minorEastAsia" w:hAnsiTheme="minorHAnsi" w:cstheme="minorBidi"/>
          <w:b w:val="0"/>
          <w:bCs w:val="0"/>
          <w:color w:val="auto"/>
          <w:sz w:val="22"/>
          <w:szCs w:val="22"/>
          <w:lang w:eastAsia="en-GB"/>
        </w:rPr>
      </w:pPr>
      <w:hyperlink w:anchor="_Toc123738094" w:history="1">
        <w:r w:rsidR="00E657F5" w:rsidRPr="00F7563C">
          <w:rPr>
            <w:rStyle w:val="Hyperlink"/>
          </w:rPr>
          <w:t>5</w:t>
        </w:r>
        <w:r w:rsidR="00E657F5">
          <w:rPr>
            <w:rFonts w:asciiTheme="minorHAnsi" w:eastAsiaTheme="minorEastAsia" w:hAnsiTheme="minorHAnsi" w:cstheme="minorBidi"/>
            <w:b w:val="0"/>
            <w:bCs w:val="0"/>
            <w:color w:val="auto"/>
            <w:sz w:val="22"/>
            <w:szCs w:val="22"/>
            <w:lang w:eastAsia="en-GB"/>
          </w:rPr>
          <w:tab/>
        </w:r>
        <w:r w:rsidR="00E657F5" w:rsidRPr="00F7563C">
          <w:rPr>
            <w:rStyle w:val="Hyperlink"/>
          </w:rPr>
          <w:t>Road Pavements</w:t>
        </w:r>
        <w:r w:rsidR="00E657F5">
          <w:rPr>
            <w:webHidden/>
          </w:rPr>
          <w:tab/>
        </w:r>
        <w:r w:rsidR="00E657F5">
          <w:rPr>
            <w:webHidden/>
          </w:rPr>
          <w:fldChar w:fldCharType="begin"/>
        </w:r>
        <w:r w:rsidR="00E657F5">
          <w:rPr>
            <w:webHidden/>
          </w:rPr>
          <w:instrText xml:space="preserve"> PAGEREF _Toc123738094 \h </w:instrText>
        </w:r>
        <w:r w:rsidR="00E657F5">
          <w:rPr>
            <w:webHidden/>
          </w:rPr>
        </w:r>
        <w:r w:rsidR="00E657F5">
          <w:rPr>
            <w:webHidden/>
          </w:rPr>
          <w:fldChar w:fldCharType="separate"/>
        </w:r>
        <w:r w:rsidR="00E657F5">
          <w:rPr>
            <w:webHidden/>
          </w:rPr>
          <w:t>31</w:t>
        </w:r>
        <w:r w:rsidR="00E657F5">
          <w:rPr>
            <w:webHidden/>
          </w:rPr>
          <w:fldChar w:fldCharType="end"/>
        </w:r>
      </w:hyperlink>
    </w:p>
    <w:p w14:paraId="1EE3453B" w14:textId="77777777" w:rsidR="00F827A6" w:rsidRDefault="00765D0C">
      <w:pPr>
        <w:pStyle w:val="TOC1"/>
        <w:tabs>
          <w:tab w:val="left" w:pos="720"/>
          <w:tab w:val="right" w:leader="dot" w:pos="9010"/>
        </w:tabs>
        <w:rPr>
          <w:rFonts w:asciiTheme="minorHAnsi" w:eastAsiaTheme="minorEastAsia" w:hAnsiTheme="minorHAnsi" w:cstheme="minorBidi"/>
          <w:b w:val="0"/>
          <w:bCs w:val="0"/>
          <w:color w:val="auto"/>
          <w:sz w:val="22"/>
          <w:szCs w:val="22"/>
          <w:lang w:eastAsia="en-GB"/>
        </w:rPr>
      </w:pPr>
      <w:hyperlink w:anchor="_Toc123738095" w:history="1">
        <w:r w:rsidR="00E657F5" w:rsidRPr="00F7563C">
          <w:rPr>
            <w:rStyle w:val="Hyperlink"/>
          </w:rPr>
          <w:t>6</w:t>
        </w:r>
        <w:r w:rsidR="00E657F5">
          <w:rPr>
            <w:rFonts w:asciiTheme="minorHAnsi" w:eastAsiaTheme="minorEastAsia" w:hAnsiTheme="minorHAnsi" w:cstheme="minorBidi"/>
            <w:b w:val="0"/>
            <w:bCs w:val="0"/>
            <w:color w:val="auto"/>
            <w:sz w:val="22"/>
            <w:szCs w:val="22"/>
            <w:lang w:eastAsia="en-GB"/>
          </w:rPr>
          <w:tab/>
        </w:r>
        <w:r w:rsidR="00E657F5" w:rsidRPr="00F7563C">
          <w:rPr>
            <w:rStyle w:val="Hyperlink"/>
          </w:rPr>
          <w:t>Footways &amp; Cycletracks</w:t>
        </w:r>
        <w:r w:rsidR="00E657F5">
          <w:rPr>
            <w:webHidden/>
          </w:rPr>
          <w:tab/>
        </w:r>
        <w:r w:rsidR="00E657F5">
          <w:rPr>
            <w:webHidden/>
          </w:rPr>
          <w:fldChar w:fldCharType="begin"/>
        </w:r>
        <w:r w:rsidR="00E657F5">
          <w:rPr>
            <w:webHidden/>
          </w:rPr>
          <w:instrText xml:space="preserve"> PAGEREF _Toc123738095 \h </w:instrText>
        </w:r>
        <w:r w:rsidR="00E657F5">
          <w:rPr>
            <w:webHidden/>
          </w:rPr>
        </w:r>
        <w:r w:rsidR="00E657F5">
          <w:rPr>
            <w:webHidden/>
          </w:rPr>
          <w:fldChar w:fldCharType="separate"/>
        </w:r>
        <w:r w:rsidR="00E657F5">
          <w:rPr>
            <w:webHidden/>
          </w:rPr>
          <w:t>48</w:t>
        </w:r>
        <w:r w:rsidR="00E657F5">
          <w:rPr>
            <w:webHidden/>
          </w:rPr>
          <w:fldChar w:fldCharType="end"/>
        </w:r>
      </w:hyperlink>
    </w:p>
    <w:p w14:paraId="0FE3AD5F" w14:textId="77777777" w:rsidR="00F827A6" w:rsidRDefault="00765D0C">
      <w:pPr>
        <w:pStyle w:val="TOC1"/>
        <w:tabs>
          <w:tab w:val="left" w:pos="720"/>
          <w:tab w:val="right" w:leader="dot" w:pos="9010"/>
        </w:tabs>
        <w:rPr>
          <w:rFonts w:asciiTheme="minorHAnsi" w:eastAsiaTheme="minorEastAsia" w:hAnsiTheme="minorHAnsi" w:cstheme="minorBidi"/>
          <w:b w:val="0"/>
          <w:bCs w:val="0"/>
          <w:color w:val="auto"/>
          <w:sz w:val="22"/>
          <w:szCs w:val="22"/>
          <w:lang w:eastAsia="en-GB"/>
        </w:rPr>
      </w:pPr>
      <w:hyperlink w:anchor="_Toc123738096" w:history="1">
        <w:r w:rsidR="00E657F5" w:rsidRPr="00F7563C">
          <w:rPr>
            <w:rStyle w:val="Hyperlink"/>
          </w:rPr>
          <w:t>7</w:t>
        </w:r>
        <w:r w:rsidR="00E657F5">
          <w:rPr>
            <w:rFonts w:asciiTheme="minorHAnsi" w:eastAsiaTheme="minorEastAsia" w:hAnsiTheme="minorHAnsi" w:cstheme="minorBidi"/>
            <w:b w:val="0"/>
            <w:bCs w:val="0"/>
            <w:color w:val="auto"/>
            <w:sz w:val="22"/>
            <w:szCs w:val="22"/>
            <w:lang w:eastAsia="en-GB"/>
          </w:rPr>
          <w:tab/>
        </w:r>
        <w:r w:rsidR="00E657F5" w:rsidRPr="00F7563C">
          <w:rPr>
            <w:rStyle w:val="Hyperlink"/>
          </w:rPr>
          <w:t>Kerbs, Channels &amp; Edge Restraints</w:t>
        </w:r>
        <w:r w:rsidR="00E657F5">
          <w:rPr>
            <w:webHidden/>
          </w:rPr>
          <w:tab/>
        </w:r>
        <w:r w:rsidR="00E657F5">
          <w:rPr>
            <w:webHidden/>
          </w:rPr>
          <w:fldChar w:fldCharType="begin"/>
        </w:r>
        <w:r w:rsidR="00E657F5">
          <w:rPr>
            <w:webHidden/>
          </w:rPr>
          <w:instrText xml:space="preserve"> PAGEREF _Toc123738096 \h </w:instrText>
        </w:r>
        <w:r w:rsidR="00E657F5">
          <w:rPr>
            <w:webHidden/>
          </w:rPr>
        </w:r>
        <w:r w:rsidR="00E657F5">
          <w:rPr>
            <w:webHidden/>
          </w:rPr>
          <w:fldChar w:fldCharType="separate"/>
        </w:r>
        <w:r w:rsidR="00E657F5">
          <w:rPr>
            <w:webHidden/>
          </w:rPr>
          <w:t>52</w:t>
        </w:r>
        <w:r w:rsidR="00E657F5">
          <w:rPr>
            <w:webHidden/>
          </w:rPr>
          <w:fldChar w:fldCharType="end"/>
        </w:r>
      </w:hyperlink>
    </w:p>
    <w:p w14:paraId="2C7ECD2F" w14:textId="77777777" w:rsidR="00F827A6" w:rsidRDefault="00765D0C">
      <w:pPr>
        <w:pStyle w:val="TOC1"/>
        <w:tabs>
          <w:tab w:val="left" w:pos="720"/>
          <w:tab w:val="right" w:leader="dot" w:pos="9010"/>
        </w:tabs>
        <w:rPr>
          <w:rFonts w:asciiTheme="minorHAnsi" w:eastAsiaTheme="minorEastAsia" w:hAnsiTheme="minorHAnsi" w:cstheme="minorBidi"/>
          <w:b w:val="0"/>
          <w:bCs w:val="0"/>
          <w:color w:val="auto"/>
          <w:sz w:val="22"/>
          <w:szCs w:val="22"/>
          <w:lang w:eastAsia="en-GB"/>
        </w:rPr>
      </w:pPr>
      <w:hyperlink w:anchor="_Toc123738097" w:history="1">
        <w:r w:rsidR="00E657F5" w:rsidRPr="00F7563C">
          <w:rPr>
            <w:rStyle w:val="Hyperlink"/>
          </w:rPr>
          <w:t>8</w:t>
        </w:r>
        <w:r w:rsidR="00E657F5">
          <w:rPr>
            <w:rFonts w:asciiTheme="minorHAnsi" w:eastAsiaTheme="minorEastAsia" w:hAnsiTheme="minorHAnsi" w:cstheme="minorBidi"/>
            <w:b w:val="0"/>
            <w:bCs w:val="0"/>
            <w:color w:val="auto"/>
            <w:sz w:val="22"/>
            <w:szCs w:val="22"/>
            <w:lang w:eastAsia="en-GB"/>
          </w:rPr>
          <w:tab/>
        </w:r>
        <w:r w:rsidR="00E657F5" w:rsidRPr="00F7563C">
          <w:rPr>
            <w:rStyle w:val="Hyperlink"/>
          </w:rPr>
          <w:t>Road Restraint Systems</w:t>
        </w:r>
        <w:r w:rsidR="00E657F5">
          <w:rPr>
            <w:webHidden/>
          </w:rPr>
          <w:tab/>
        </w:r>
        <w:r w:rsidR="00E657F5">
          <w:rPr>
            <w:webHidden/>
          </w:rPr>
          <w:fldChar w:fldCharType="begin"/>
        </w:r>
        <w:r w:rsidR="00E657F5">
          <w:rPr>
            <w:webHidden/>
          </w:rPr>
          <w:instrText xml:space="preserve"> PAGEREF _Toc123738097 \h </w:instrText>
        </w:r>
        <w:r w:rsidR="00E657F5">
          <w:rPr>
            <w:webHidden/>
          </w:rPr>
        </w:r>
        <w:r w:rsidR="00E657F5">
          <w:rPr>
            <w:webHidden/>
          </w:rPr>
          <w:fldChar w:fldCharType="separate"/>
        </w:r>
        <w:r w:rsidR="00E657F5">
          <w:rPr>
            <w:webHidden/>
          </w:rPr>
          <w:t>54</w:t>
        </w:r>
        <w:r w:rsidR="00E657F5">
          <w:rPr>
            <w:webHidden/>
          </w:rPr>
          <w:fldChar w:fldCharType="end"/>
        </w:r>
      </w:hyperlink>
    </w:p>
    <w:p w14:paraId="17925C58" w14:textId="77777777" w:rsidR="00F827A6" w:rsidRDefault="00765D0C">
      <w:pPr>
        <w:pStyle w:val="TOC1"/>
        <w:tabs>
          <w:tab w:val="left" w:pos="720"/>
          <w:tab w:val="right" w:leader="dot" w:pos="9010"/>
        </w:tabs>
        <w:rPr>
          <w:rFonts w:asciiTheme="minorHAnsi" w:eastAsiaTheme="minorEastAsia" w:hAnsiTheme="minorHAnsi" w:cstheme="minorBidi"/>
          <w:b w:val="0"/>
          <w:bCs w:val="0"/>
          <w:color w:val="auto"/>
          <w:sz w:val="22"/>
          <w:szCs w:val="22"/>
          <w:lang w:eastAsia="en-GB"/>
        </w:rPr>
      </w:pPr>
      <w:hyperlink w:anchor="_Toc123738098" w:history="1">
        <w:r w:rsidR="00E657F5" w:rsidRPr="00F7563C">
          <w:rPr>
            <w:rStyle w:val="Hyperlink"/>
          </w:rPr>
          <w:t>9</w:t>
        </w:r>
        <w:r w:rsidR="00E657F5">
          <w:rPr>
            <w:rFonts w:asciiTheme="minorHAnsi" w:eastAsiaTheme="minorEastAsia" w:hAnsiTheme="minorHAnsi" w:cstheme="minorBidi"/>
            <w:b w:val="0"/>
            <w:bCs w:val="0"/>
            <w:color w:val="auto"/>
            <w:sz w:val="22"/>
            <w:szCs w:val="22"/>
            <w:lang w:eastAsia="en-GB"/>
          </w:rPr>
          <w:tab/>
        </w:r>
        <w:r w:rsidR="00E657F5" w:rsidRPr="00F7563C">
          <w:rPr>
            <w:rStyle w:val="Hyperlink"/>
          </w:rPr>
          <w:t>Street Lighting</w:t>
        </w:r>
        <w:r w:rsidR="00E657F5">
          <w:rPr>
            <w:webHidden/>
          </w:rPr>
          <w:tab/>
        </w:r>
        <w:r w:rsidR="00E657F5">
          <w:rPr>
            <w:webHidden/>
          </w:rPr>
          <w:fldChar w:fldCharType="begin"/>
        </w:r>
        <w:r w:rsidR="00E657F5">
          <w:rPr>
            <w:webHidden/>
          </w:rPr>
          <w:instrText xml:space="preserve"> PAGEREF _Toc123738098 \h </w:instrText>
        </w:r>
        <w:r w:rsidR="00E657F5">
          <w:rPr>
            <w:webHidden/>
          </w:rPr>
        </w:r>
        <w:r w:rsidR="00E657F5">
          <w:rPr>
            <w:webHidden/>
          </w:rPr>
          <w:fldChar w:fldCharType="separate"/>
        </w:r>
        <w:r w:rsidR="00E657F5">
          <w:rPr>
            <w:webHidden/>
          </w:rPr>
          <w:t>55</w:t>
        </w:r>
        <w:r w:rsidR="00E657F5">
          <w:rPr>
            <w:webHidden/>
          </w:rPr>
          <w:fldChar w:fldCharType="end"/>
        </w:r>
      </w:hyperlink>
    </w:p>
    <w:p w14:paraId="64ED4E65" w14:textId="77777777" w:rsidR="00384EE4" w:rsidRPr="00C07CC6" w:rsidRDefault="00E657F5" w:rsidP="00C07CC6">
      <w:pPr>
        <w:pStyle w:val="TOCHeader"/>
        <w:rPr>
          <w:sz w:val="40"/>
          <w:szCs w:val="40"/>
        </w:rPr>
        <w:sectPr w:rsidR="00384EE4" w:rsidRPr="00C07CC6" w:rsidSect="00810BA6">
          <w:pgSz w:w="11900" w:h="16840" w:code="9"/>
          <w:pgMar w:top="1440" w:right="1440" w:bottom="1440" w:left="1440" w:header="283" w:footer="283" w:gutter="0"/>
          <w:pgNumType w:start="1"/>
          <w:cols w:space="292"/>
          <w:docGrid w:linePitch="326"/>
        </w:sectPr>
      </w:pPr>
      <w:r>
        <w:rPr>
          <w:sz w:val="40"/>
          <w:szCs w:val="40"/>
        </w:rPr>
        <w:fldChar w:fldCharType="end"/>
      </w:r>
    </w:p>
    <w:bookmarkEnd w:id="0"/>
    <w:p w14:paraId="7EE55BE5" w14:textId="77777777" w:rsidR="001E6A69" w:rsidRPr="001E6A69" w:rsidRDefault="00E657F5" w:rsidP="001E6A69">
      <w:pPr>
        <w:pStyle w:val="TOCHeader"/>
        <w:rPr>
          <w:sz w:val="40"/>
          <w:szCs w:val="40"/>
        </w:rPr>
      </w:pPr>
      <w:r w:rsidRPr="001E6A69">
        <w:rPr>
          <w:sz w:val="40"/>
          <w:szCs w:val="40"/>
        </w:rPr>
        <w:lastRenderedPageBreak/>
        <w:t>List of tables</w:t>
      </w:r>
    </w:p>
    <w:p w14:paraId="40034CEA" w14:textId="77777777" w:rsidR="00C47474" w:rsidRDefault="00E657F5">
      <w:pPr>
        <w:pStyle w:val="TableofFigures"/>
        <w:tabs>
          <w:tab w:val="right" w:leader="dot" w:pos="9010"/>
        </w:tabs>
        <w:rPr>
          <w:rFonts w:asciiTheme="minorHAnsi" w:eastAsiaTheme="minorEastAsia" w:hAnsiTheme="minorHAnsi" w:cstheme="minorBidi"/>
          <w:noProof/>
          <w:color w:val="auto"/>
          <w:sz w:val="22"/>
          <w:szCs w:val="22"/>
          <w:lang w:eastAsia="en-GB"/>
        </w:rPr>
      </w:pPr>
      <w:r>
        <w:rPr>
          <w:rFonts w:eastAsia="Times New Roman"/>
          <w:b/>
          <w:bCs/>
          <w:color w:val="2C5A77"/>
          <w:sz w:val="40"/>
          <w:szCs w:val="28"/>
          <w:highlight w:val="lightGray"/>
          <w:lang w:eastAsia="en-GB"/>
        </w:rPr>
        <w:fldChar w:fldCharType="begin"/>
      </w:r>
      <w:r>
        <w:rPr>
          <w:highlight w:val="lightGray"/>
        </w:rPr>
        <w:instrText xml:space="preserve"> TOC \h \z \c "Table" </w:instrText>
      </w:r>
      <w:r>
        <w:rPr>
          <w:rFonts w:eastAsia="Times New Roman"/>
          <w:b/>
          <w:bCs/>
          <w:color w:val="2C5A77"/>
          <w:sz w:val="40"/>
          <w:szCs w:val="28"/>
          <w:highlight w:val="lightGray"/>
          <w:lang w:eastAsia="en-GB"/>
        </w:rPr>
        <w:fldChar w:fldCharType="separate"/>
      </w:r>
      <w:hyperlink w:anchor="_Toc120010308" w:history="1">
        <w:r w:rsidRPr="00220C02">
          <w:rPr>
            <w:rStyle w:val="Hyperlink"/>
            <w:noProof/>
          </w:rPr>
          <w:t>Table 1 - Structures spans</w:t>
        </w:r>
        <w:r>
          <w:rPr>
            <w:noProof/>
            <w:webHidden/>
          </w:rPr>
          <w:tab/>
        </w:r>
        <w:r>
          <w:rPr>
            <w:noProof/>
            <w:webHidden/>
          </w:rPr>
          <w:fldChar w:fldCharType="begin"/>
        </w:r>
        <w:r>
          <w:rPr>
            <w:noProof/>
            <w:webHidden/>
          </w:rPr>
          <w:instrText xml:space="preserve"> PAGEREF _Toc120010308 \h </w:instrText>
        </w:r>
        <w:r>
          <w:rPr>
            <w:noProof/>
            <w:webHidden/>
          </w:rPr>
        </w:r>
        <w:r>
          <w:rPr>
            <w:noProof/>
            <w:webHidden/>
          </w:rPr>
          <w:fldChar w:fldCharType="separate"/>
        </w:r>
        <w:r>
          <w:rPr>
            <w:noProof/>
            <w:webHidden/>
          </w:rPr>
          <w:t>8</w:t>
        </w:r>
        <w:r>
          <w:rPr>
            <w:noProof/>
            <w:webHidden/>
          </w:rPr>
          <w:fldChar w:fldCharType="end"/>
        </w:r>
      </w:hyperlink>
    </w:p>
    <w:p w14:paraId="59AA7610" w14:textId="77777777" w:rsidR="00C47474" w:rsidRDefault="00765D0C">
      <w:pPr>
        <w:pStyle w:val="TableofFigures"/>
        <w:tabs>
          <w:tab w:val="right" w:leader="dot" w:pos="9010"/>
        </w:tabs>
        <w:rPr>
          <w:rFonts w:asciiTheme="minorHAnsi" w:eastAsiaTheme="minorEastAsia" w:hAnsiTheme="minorHAnsi" w:cstheme="minorBidi"/>
          <w:noProof/>
          <w:color w:val="auto"/>
          <w:sz w:val="22"/>
          <w:szCs w:val="22"/>
          <w:lang w:eastAsia="en-GB"/>
        </w:rPr>
      </w:pPr>
      <w:hyperlink w:anchor="_Toc120010309" w:history="1">
        <w:r w:rsidR="00E657F5" w:rsidRPr="00220C02">
          <w:rPr>
            <w:rStyle w:val="Hyperlink"/>
            <w:noProof/>
          </w:rPr>
          <w:t>Table 2 - British Standards for steel reinforcement</w:t>
        </w:r>
        <w:r w:rsidR="00E657F5">
          <w:rPr>
            <w:noProof/>
            <w:webHidden/>
          </w:rPr>
          <w:tab/>
        </w:r>
        <w:r w:rsidR="00E657F5">
          <w:rPr>
            <w:noProof/>
            <w:webHidden/>
          </w:rPr>
          <w:fldChar w:fldCharType="begin"/>
        </w:r>
        <w:r w:rsidR="00E657F5">
          <w:rPr>
            <w:noProof/>
            <w:webHidden/>
          </w:rPr>
          <w:instrText xml:space="preserve"> PAGEREF _Toc120010309 \h </w:instrText>
        </w:r>
        <w:r w:rsidR="00E657F5">
          <w:rPr>
            <w:noProof/>
            <w:webHidden/>
          </w:rPr>
        </w:r>
        <w:r w:rsidR="00E657F5">
          <w:rPr>
            <w:noProof/>
            <w:webHidden/>
          </w:rPr>
          <w:fldChar w:fldCharType="separate"/>
        </w:r>
        <w:r w:rsidR="00E657F5">
          <w:rPr>
            <w:noProof/>
            <w:webHidden/>
          </w:rPr>
          <w:t>10</w:t>
        </w:r>
        <w:r w:rsidR="00E657F5">
          <w:rPr>
            <w:noProof/>
            <w:webHidden/>
          </w:rPr>
          <w:fldChar w:fldCharType="end"/>
        </w:r>
      </w:hyperlink>
    </w:p>
    <w:p w14:paraId="7B802178" w14:textId="77777777" w:rsidR="00C47474" w:rsidRDefault="00765D0C">
      <w:pPr>
        <w:pStyle w:val="TableofFigures"/>
        <w:tabs>
          <w:tab w:val="right" w:leader="dot" w:pos="9010"/>
        </w:tabs>
        <w:rPr>
          <w:rFonts w:asciiTheme="minorHAnsi" w:eastAsiaTheme="minorEastAsia" w:hAnsiTheme="minorHAnsi" w:cstheme="minorBidi"/>
          <w:noProof/>
          <w:color w:val="auto"/>
          <w:sz w:val="22"/>
          <w:szCs w:val="22"/>
          <w:lang w:eastAsia="en-GB"/>
        </w:rPr>
      </w:pPr>
      <w:hyperlink w:anchor="_Toc120010310" w:history="1">
        <w:r w:rsidR="00E657F5" w:rsidRPr="00220C02">
          <w:rPr>
            <w:rStyle w:val="Hyperlink"/>
            <w:noProof/>
          </w:rPr>
          <w:t>Table 3 - Land drainage medium grading</w:t>
        </w:r>
        <w:r w:rsidR="00E657F5">
          <w:rPr>
            <w:noProof/>
            <w:webHidden/>
          </w:rPr>
          <w:tab/>
        </w:r>
        <w:r w:rsidR="00E657F5">
          <w:rPr>
            <w:noProof/>
            <w:webHidden/>
          </w:rPr>
          <w:fldChar w:fldCharType="begin"/>
        </w:r>
        <w:r w:rsidR="00E657F5">
          <w:rPr>
            <w:noProof/>
            <w:webHidden/>
          </w:rPr>
          <w:instrText xml:space="preserve"> PAGEREF _Toc120010310 \h </w:instrText>
        </w:r>
        <w:r w:rsidR="00E657F5">
          <w:rPr>
            <w:noProof/>
            <w:webHidden/>
          </w:rPr>
        </w:r>
        <w:r w:rsidR="00E657F5">
          <w:rPr>
            <w:noProof/>
            <w:webHidden/>
          </w:rPr>
          <w:fldChar w:fldCharType="separate"/>
        </w:r>
        <w:r w:rsidR="00E657F5">
          <w:rPr>
            <w:noProof/>
            <w:webHidden/>
          </w:rPr>
          <w:t>13</w:t>
        </w:r>
        <w:r w:rsidR="00E657F5">
          <w:rPr>
            <w:noProof/>
            <w:webHidden/>
          </w:rPr>
          <w:fldChar w:fldCharType="end"/>
        </w:r>
      </w:hyperlink>
    </w:p>
    <w:p w14:paraId="7D90FABE" w14:textId="77777777" w:rsidR="00C47474" w:rsidRDefault="00765D0C">
      <w:pPr>
        <w:pStyle w:val="TableofFigures"/>
        <w:tabs>
          <w:tab w:val="right" w:leader="dot" w:pos="9010"/>
        </w:tabs>
        <w:rPr>
          <w:rFonts w:asciiTheme="minorHAnsi" w:eastAsiaTheme="minorEastAsia" w:hAnsiTheme="minorHAnsi" w:cstheme="minorBidi"/>
          <w:noProof/>
          <w:color w:val="auto"/>
          <w:sz w:val="22"/>
          <w:szCs w:val="22"/>
          <w:lang w:eastAsia="en-GB"/>
        </w:rPr>
      </w:pPr>
      <w:hyperlink w:anchor="_Toc120010311" w:history="1">
        <w:r w:rsidR="00E657F5" w:rsidRPr="00220C02">
          <w:rPr>
            <w:rStyle w:val="Hyperlink"/>
            <w:noProof/>
          </w:rPr>
          <w:t>Table 4 - Pipe granular bedding material grading</w:t>
        </w:r>
        <w:r w:rsidR="00E657F5">
          <w:rPr>
            <w:noProof/>
            <w:webHidden/>
          </w:rPr>
          <w:tab/>
        </w:r>
        <w:r w:rsidR="00E657F5">
          <w:rPr>
            <w:noProof/>
            <w:webHidden/>
          </w:rPr>
          <w:fldChar w:fldCharType="begin"/>
        </w:r>
        <w:r w:rsidR="00E657F5">
          <w:rPr>
            <w:noProof/>
            <w:webHidden/>
          </w:rPr>
          <w:instrText xml:space="preserve"> PAGEREF _Toc120010311 \h </w:instrText>
        </w:r>
        <w:r w:rsidR="00E657F5">
          <w:rPr>
            <w:noProof/>
            <w:webHidden/>
          </w:rPr>
        </w:r>
        <w:r w:rsidR="00E657F5">
          <w:rPr>
            <w:noProof/>
            <w:webHidden/>
          </w:rPr>
          <w:fldChar w:fldCharType="separate"/>
        </w:r>
        <w:r w:rsidR="00E657F5">
          <w:rPr>
            <w:noProof/>
            <w:webHidden/>
          </w:rPr>
          <w:t>14</w:t>
        </w:r>
        <w:r w:rsidR="00E657F5">
          <w:rPr>
            <w:noProof/>
            <w:webHidden/>
          </w:rPr>
          <w:fldChar w:fldCharType="end"/>
        </w:r>
      </w:hyperlink>
    </w:p>
    <w:p w14:paraId="3DF0387E" w14:textId="77777777" w:rsidR="00C47474" w:rsidRDefault="00765D0C">
      <w:pPr>
        <w:pStyle w:val="TableofFigures"/>
        <w:tabs>
          <w:tab w:val="right" w:leader="dot" w:pos="9010"/>
        </w:tabs>
        <w:rPr>
          <w:rFonts w:asciiTheme="minorHAnsi" w:eastAsiaTheme="minorEastAsia" w:hAnsiTheme="minorHAnsi" w:cstheme="minorBidi"/>
          <w:noProof/>
          <w:color w:val="auto"/>
          <w:sz w:val="22"/>
          <w:szCs w:val="22"/>
          <w:lang w:eastAsia="en-GB"/>
        </w:rPr>
      </w:pPr>
      <w:hyperlink w:anchor="_Toc120010312" w:history="1">
        <w:r w:rsidR="00E657F5" w:rsidRPr="00220C02">
          <w:rPr>
            <w:rStyle w:val="Hyperlink"/>
            <w:noProof/>
          </w:rPr>
          <w:t>Table 5 - Unbound foundation thickness assuming the sub-base carries the development construction traffic and material deliveries</w:t>
        </w:r>
        <w:r w:rsidR="00E657F5">
          <w:rPr>
            <w:noProof/>
            <w:webHidden/>
          </w:rPr>
          <w:tab/>
        </w:r>
        <w:r w:rsidR="00E657F5">
          <w:rPr>
            <w:noProof/>
            <w:webHidden/>
          </w:rPr>
          <w:fldChar w:fldCharType="begin"/>
        </w:r>
        <w:r w:rsidR="00E657F5">
          <w:rPr>
            <w:noProof/>
            <w:webHidden/>
          </w:rPr>
          <w:instrText xml:space="preserve"> PAGEREF _Toc120010312 \h </w:instrText>
        </w:r>
        <w:r w:rsidR="00E657F5">
          <w:rPr>
            <w:noProof/>
            <w:webHidden/>
          </w:rPr>
        </w:r>
        <w:r w:rsidR="00E657F5">
          <w:rPr>
            <w:noProof/>
            <w:webHidden/>
          </w:rPr>
          <w:fldChar w:fldCharType="separate"/>
        </w:r>
        <w:r w:rsidR="00E657F5">
          <w:rPr>
            <w:noProof/>
            <w:webHidden/>
          </w:rPr>
          <w:t>34</w:t>
        </w:r>
        <w:r w:rsidR="00E657F5">
          <w:rPr>
            <w:noProof/>
            <w:webHidden/>
          </w:rPr>
          <w:fldChar w:fldCharType="end"/>
        </w:r>
      </w:hyperlink>
    </w:p>
    <w:p w14:paraId="43B42226" w14:textId="77777777" w:rsidR="00C47474" w:rsidRDefault="00765D0C">
      <w:pPr>
        <w:pStyle w:val="TableofFigures"/>
        <w:tabs>
          <w:tab w:val="right" w:leader="dot" w:pos="9010"/>
        </w:tabs>
        <w:rPr>
          <w:rFonts w:asciiTheme="minorHAnsi" w:eastAsiaTheme="minorEastAsia" w:hAnsiTheme="minorHAnsi" w:cstheme="minorBidi"/>
          <w:noProof/>
          <w:color w:val="auto"/>
          <w:sz w:val="22"/>
          <w:szCs w:val="22"/>
          <w:lang w:eastAsia="en-GB"/>
        </w:rPr>
      </w:pPr>
      <w:hyperlink w:anchor="_Toc120010313" w:history="1">
        <w:r w:rsidR="00E657F5" w:rsidRPr="00220C02">
          <w:rPr>
            <w:rStyle w:val="Hyperlink"/>
            <w:noProof/>
          </w:rPr>
          <w:t>Table 6 - Hydraulically Bound Mixture (HBM) foundation thickness assuming the sub-base carries the development construction traffic and material deliveries</w:t>
        </w:r>
        <w:r w:rsidR="00E657F5">
          <w:rPr>
            <w:noProof/>
            <w:webHidden/>
          </w:rPr>
          <w:tab/>
        </w:r>
        <w:r w:rsidR="00E657F5">
          <w:rPr>
            <w:noProof/>
            <w:webHidden/>
          </w:rPr>
          <w:fldChar w:fldCharType="begin"/>
        </w:r>
        <w:r w:rsidR="00E657F5">
          <w:rPr>
            <w:noProof/>
            <w:webHidden/>
          </w:rPr>
          <w:instrText xml:space="preserve"> PAGEREF _Toc120010313 \h </w:instrText>
        </w:r>
        <w:r w:rsidR="00E657F5">
          <w:rPr>
            <w:noProof/>
            <w:webHidden/>
          </w:rPr>
        </w:r>
        <w:r w:rsidR="00E657F5">
          <w:rPr>
            <w:noProof/>
            <w:webHidden/>
          </w:rPr>
          <w:fldChar w:fldCharType="separate"/>
        </w:r>
        <w:r w:rsidR="00E657F5">
          <w:rPr>
            <w:noProof/>
            <w:webHidden/>
          </w:rPr>
          <w:t>34</w:t>
        </w:r>
        <w:r w:rsidR="00E657F5">
          <w:rPr>
            <w:noProof/>
            <w:webHidden/>
          </w:rPr>
          <w:fldChar w:fldCharType="end"/>
        </w:r>
      </w:hyperlink>
    </w:p>
    <w:p w14:paraId="708EE69D" w14:textId="77777777" w:rsidR="00C47474" w:rsidRDefault="00765D0C">
      <w:pPr>
        <w:pStyle w:val="TableofFigures"/>
        <w:tabs>
          <w:tab w:val="right" w:leader="dot" w:pos="9010"/>
        </w:tabs>
        <w:rPr>
          <w:rFonts w:asciiTheme="minorHAnsi" w:eastAsiaTheme="minorEastAsia" w:hAnsiTheme="minorHAnsi" w:cstheme="minorBidi"/>
          <w:noProof/>
          <w:color w:val="auto"/>
          <w:sz w:val="22"/>
          <w:szCs w:val="22"/>
          <w:lang w:eastAsia="en-GB"/>
        </w:rPr>
      </w:pPr>
      <w:hyperlink w:anchor="_Toc120010314" w:history="1">
        <w:r w:rsidR="00E657F5" w:rsidRPr="00220C02">
          <w:rPr>
            <w:rStyle w:val="Hyperlink"/>
            <w:noProof/>
          </w:rPr>
          <w:t>Table 7 - Unbound sub-base on stabilised capping foundation thicknesses assuming the sub-base carries the development construction traffic and material deliveries.</w:t>
        </w:r>
        <w:r w:rsidR="00E657F5">
          <w:rPr>
            <w:noProof/>
            <w:webHidden/>
          </w:rPr>
          <w:tab/>
        </w:r>
        <w:r w:rsidR="00E657F5">
          <w:rPr>
            <w:noProof/>
            <w:webHidden/>
          </w:rPr>
          <w:fldChar w:fldCharType="begin"/>
        </w:r>
        <w:r w:rsidR="00E657F5">
          <w:rPr>
            <w:noProof/>
            <w:webHidden/>
          </w:rPr>
          <w:instrText xml:space="preserve"> PAGEREF _Toc120010314 \h </w:instrText>
        </w:r>
        <w:r w:rsidR="00E657F5">
          <w:rPr>
            <w:noProof/>
            <w:webHidden/>
          </w:rPr>
        </w:r>
        <w:r w:rsidR="00E657F5">
          <w:rPr>
            <w:noProof/>
            <w:webHidden/>
          </w:rPr>
          <w:fldChar w:fldCharType="separate"/>
        </w:r>
        <w:r w:rsidR="00E657F5">
          <w:rPr>
            <w:noProof/>
            <w:webHidden/>
          </w:rPr>
          <w:t>35</w:t>
        </w:r>
        <w:r w:rsidR="00E657F5">
          <w:rPr>
            <w:noProof/>
            <w:webHidden/>
          </w:rPr>
          <w:fldChar w:fldCharType="end"/>
        </w:r>
      </w:hyperlink>
    </w:p>
    <w:p w14:paraId="35321AEF" w14:textId="77777777" w:rsidR="00C47474" w:rsidRDefault="00765D0C">
      <w:pPr>
        <w:pStyle w:val="TableofFigures"/>
        <w:tabs>
          <w:tab w:val="right" w:leader="dot" w:pos="9010"/>
        </w:tabs>
        <w:rPr>
          <w:rFonts w:asciiTheme="minorHAnsi" w:eastAsiaTheme="minorEastAsia" w:hAnsiTheme="minorHAnsi" w:cstheme="minorBidi"/>
          <w:noProof/>
          <w:color w:val="auto"/>
          <w:sz w:val="22"/>
          <w:szCs w:val="22"/>
          <w:lang w:eastAsia="en-GB"/>
        </w:rPr>
      </w:pPr>
      <w:hyperlink w:anchor="_Toc120010315" w:history="1">
        <w:r w:rsidR="00E657F5" w:rsidRPr="00220C02">
          <w:rPr>
            <w:rStyle w:val="Hyperlink"/>
            <w:noProof/>
          </w:rPr>
          <w:t>Table 8 - HBM sub-base on stabilised capping foundation thicknesses assuming the sub-base carries the development construction traffic and material deliveries</w:t>
        </w:r>
        <w:r w:rsidR="00E657F5">
          <w:rPr>
            <w:noProof/>
            <w:webHidden/>
          </w:rPr>
          <w:tab/>
        </w:r>
        <w:r w:rsidR="00E657F5">
          <w:rPr>
            <w:noProof/>
            <w:webHidden/>
          </w:rPr>
          <w:fldChar w:fldCharType="begin"/>
        </w:r>
        <w:r w:rsidR="00E657F5">
          <w:rPr>
            <w:noProof/>
            <w:webHidden/>
          </w:rPr>
          <w:instrText xml:space="preserve"> PAGEREF _Toc120010315 \h </w:instrText>
        </w:r>
        <w:r w:rsidR="00E657F5">
          <w:rPr>
            <w:noProof/>
            <w:webHidden/>
          </w:rPr>
        </w:r>
        <w:r w:rsidR="00E657F5">
          <w:rPr>
            <w:noProof/>
            <w:webHidden/>
          </w:rPr>
          <w:fldChar w:fldCharType="separate"/>
        </w:r>
        <w:r w:rsidR="00E657F5">
          <w:rPr>
            <w:noProof/>
            <w:webHidden/>
          </w:rPr>
          <w:t>35</w:t>
        </w:r>
        <w:r w:rsidR="00E657F5">
          <w:rPr>
            <w:noProof/>
            <w:webHidden/>
          </w:rPr>
          <w:fldChar w:fldCharType="end"/>
        </w:r>
      </w:hyperlink>
    </w:p>
    <w:p w14:paraId="5E400D14" w14:textId="77777777" w:rsidR="00C47474" w:rsidRDefault="00765D0C">
      <w:pPr>
        <w:pStyle w:val="TableofFigures"/>
        <w:tabs>
          <w:tab w:val="right" w:leader="dot" w:pos="9010"/>
        </w:tabs>
        <w:rPr>
          <w:rFonts w:asciiTheme="minorHAnsi" w:eastAsiaTheme="minorEastAsia" w:hAnsiTheme="minorHAnsi" w:cstheme="minorBidi"/>
          <w:noProof/>
          <w:color w:val="auto"/>
          <w:sz w:val="22"/>
          <w:szCs w:val="22"/>
          <w:lang w:eastAsia="en-GB"/>
        </w:rPr>
      </w:pPr>
      <w:hyperlink w:anchor="_Toc120010316" w:history="1">
        <w:r w:rsidR="00E657F5" w:rsidRPr="00220C02">
          <w:rPr>
            <w:rStyle w:val="Hyperlink"/>
            <w:noProof/>
          </w:rPr>
          <w:t>Table 9 - Unbound sub-base on capping foundation thicknesses assuming the sub-base carries the development construction traffic and material deliveries</w:t>
        </w:r>
        <w:r w:rsidR="00E657F5">
          <w:rPr>
            <w:noProof/>
            <w:webHidden/>
          </w:rPr>
          <w:tab/>
        </w:r>
        <w:r w:rsidR="00E657F5">
          <w:rPr>
            <w:noProof/>
            <w:webHidden/>
          </w:rPr>
          <w:fldChar w:fldCharType="begin"/>
        </w:r>
        <w:r w:rsidR="00E657F5">
          <w:rPr>
            <w:noProof/>
            <w:webHidden/>
          </w:rPr>
          <w:instrText xml:space="preserve"> PAGEREF _Toc120010316 \h </w:instrText>
        </w:r>
        <w:r w:rsidR="00E657F5">
          <w:rPr>
            <w:noProof/>
            <w:webHidden/>
          </w:rPr>
        </w:r>
        <w:r w:rsidR="00E657F5">
          <w:rPr>
            <w:noProof/>
            <w:webHidden/>
          </w:rPr>
          <w:fldChar w:fldCharType="separate"/>
        </w:r>
        <w:r w:rsidR="00E657F5">
          <w:rPr>
            <w:noProof/>
            <w:webHidden/>
          </w:rPr>
          <w:t>36</w:t>
        </w:r>
        <w:r w:rsidR="00E657F5">
          <w:rPr>
            <w:noProof/>
            <w:webHidden/>
          </w:rPr>
          <w:fldChar w:fldCharType="end"/>
        </w:r>
      </w:hyperlink>
    </w:p>
    <w:p w14:paraId="5A429254" w14:textId="77777777" w:rsidR="00C47474" w:rsidRDefault="00765D0C">
      <w:pPr>
        <w:pStyle w:val="TableofFigures"/>
        <w:tabs>
          <w:tab w:val="right" w:leader="dot" w:pos="9010"/>
        </w:tabs>
        <w:rPr>
          <w:rFonts w:asciiTheme="minorHAnsi" w:eastAsiaTheme="minorEastAsia" w:hAnsiTheme="minorHAnsi" w:cstheme="minorBidi"/>
          <w:noProof/>
          <w:color w:val="auto"/>
          <w:sz w:val="22"/>
          <w:szCs w:val="22"/>
          <w:lang w:eastAsia="en-GB"/>
        </w:rPr>
      </w:pPr>
      <w:hyperlink w:anchor="_Toc120010317" w:history="1">
        <w:r w:rsidR="00E657F5" w:rsidRPr="00220C02">
          <w:rPr>
            <w:rStyle w:val="Hyperlink"/>
            <w:noProof/>
          </w:rPr>
          <w:t>Table 10 - Pavement construction thicknesses – asphalt and block paver surface</w:t>
        </w:r>
        <w:r w:rsidR="00E657F5">
          <w:rPr>
            <w:noProof/>
            <w:webHidden/>
          </w:rPr>
          <w:tab/>
        </w:r>
        <w:r w:rsidR="00E657F5">
          <w:rPr>
            <w:noProof/>
            <w:webHidden/>
          </w:rPr>
          <w:fldChar w:fldCharType="begin"/>
        </w:r>
        <w:r w:rsidR="00E657F5">
          <w:rPr>
            <w:noProof/>
            <w:webHidden/>
          </w:rPr>
          <w:instrText xml:space="preserve"> PAGEREF _Toc120010317 \h </w:instrText>
        </w:r>
        <w:r w:rsidR="00E657F5">
          <w:rPr>
            <w:noProof/>
            <w:webHidden/>
          </w:rPr>
        </w:r>
        <w:r w:rsidR="00E657F5">
          <w:rPr>
            <w:noProof/>
            <w:webHidden/>
          </w:rPr>
          <w:fldChar w:fldCharType="separate"/>
        </w:r>
        <w:r w:rsidR="00E657F5">
          <w:rPr>
            <w:noProof/>
            <w:webHidden/>
          </w:rPr>
          <w:t>39</w:t>
        </w:r>
        <w:r w:rsidR="00E657F5">
          <w:rPr>
            <w:noProof/>
            <w:webHidden/>
          </w:rPr>
          <w:fldChar w:fldCharType="end"/>
        </w:r>
      </w:hyperlink>
    </w:p>
    <w:p w14:paraId="46F48718" w14:textId="77777777" w:rsidR="00C47474" w:rsidRDefault="00765D0C">
      <w:pPr>
        <w:pStyle w:val="TableofFigures"/>
        <w:tabs>
          <w:tab w:val="right" w:leader="dot" w:pos="9010"/>
        </w:tabs>
        <w:rPr>
          <w:rFonts w:asciiTheme="minorHAnsi" w:eastAsiaTheme="minorEastAsia" w:hAnsiTheme="minorHAnsi" w:cstheme="minorBidi"/>
          <w:noProof/>
          <w:color w:val="auto"/>
          <w:sz w:val="22"/>
          <w:szCs w:val="22"/>
          <w:lang w:eastAsia="en-GB"/>
        </w:rPr>
      </w:pPr>
      <w:hyperlink w:anchor="_Toc120010318" w:history="1">
        <w:r w:rsidR="00E657F5" w:rsidRPr="00220C02">
          <w:rPr>
            <w:rStyle w:val="Hyperlink"/>
            <w:noProof/>
          </w:rPr>
          <w:t>Table 11 - Minimum Frequencies for Inspection and Test during production of CRBM, CBGM and HBM</w:t>
        </w:r>
        <w:r w:rsidR="00E657F5">
          <w:rPr>
            <w:noProof/>
            <w:webHidden/>
          </w:rPr>
          <w:tab/>
        </w:r>
        <w:r w:rsidR="00E657F5">
          <w:rPr>
            <w:noProof/>
            <w:webHidden/>
          </w:rPr>
          <w:fldChar w:fldCharType="begin"/>
        </w:r>
        <w:r w:rsidR="00E657F5">
          <w:rPr>
            <w:noProof/>
            <w:webHidden/>
          </w:rPr>
          <w:instrText xml:space="preserve"> PAGEREF _Toc120010318 \h </w:instrText>
        </w:r>
        <w:r w:rsidR="00E657F5">
          <w:rPr>
            <w:noProof/>
            <w:webHidden/>
          </w:rPr>
        </w:r>
        <w:r w:rsidR="00E657F5">
          <w:rPr>
            <w:noProof/>
            <w:webHidden/>
          </w:rPr>
          <w:fldChar w:fldCharType="separate"/>
        </w:r>
        <w:r w:rsidR="00E657F5">
          <w:rPr>
            <w:noProof/>
            <w:webHidden/>
          </w:rPr>
          <w:t>45</w:t>
        </w:r>
        <w:r w:rsidR="00E657F5">
          <w:rPr>
            <w:noProof/>
            <w:webHidden/>
          </w:rPr>
          <w:fldChar w:fldCharType="end"/>
        </w:r>
      </w:hyperlink>
    </w:p>
    <w:p w14:paraId="2DEF70BF" w14:textId="77777777" w:rsidR="00C47474" w:rsidRDefault="00765D0C">
      <w:pPr>
        <w:pStyle w:val="TableofFigures"/>
        <w:tabs>
          <w:tab w:val="right" w:leader="dot" w:pos="9010"/>
        </w:tabs>
        <w:rPr>
          <w:rFonts w:asciiTheme="minorHAnsi" w:eastAsiaTheme="minorEastAsia" w:hAnsiTheme="minorHAnsi" w:cstheme="minorBidi"/>
          <w:noProof/>
          <w:color w:val="auto"/>
          <w:sz w:val="22"/>
          <w:szCs w:val="22"/>
          <w:lang w:eastAsia="en-GB"/>
        </w:rPr>
      </w:pPr>
      <w:hyperlink w:anchor="_Toc120010319" w:history="1">
        <w:r w:rsidR="00E657F5" w:rsidRPr="00220C02">
          <w:rPr>
            <w:rStyle w:val="Hyperlink"/>
            <w:noProof/>
          </w:rPr>
          <w:t>Table 12 - End product criteria for CRBM, CBGM and HBM</w:t>
        </w:r>
        <w:r w:rsidR="00E657F5">
          <w:rPr>
            <w:noProof/>
            <w:webHidden/>
          </w:rPr>
          <w:tab/>
        </w:r>
        <w:r w:rsidR="00E657F5">
          <w:rPr>
            <w:noProof/>
            <w:webHidden/>
          </w:rPr>
          <w:fldChar w:fldCharType="begin"/>
        </w:r>
        <w:r w:rsidR="00E657F5">
          <w:rPr>
            <w:noProof/>
            <w:webHidden/>
          </w:rPr>
          <w:instrText xml:space="preserve"> PAGEREF _Toc120010319 \h </w:instrText>
        </w:r>
        <w:r w:rsidR="00E657F5">
          <w:rPr>
            <w:noProof/>
            <w:webHidden/>
          </w:rPr>
        </w:r>
        <w:r w:rsidR="00E657F5">
          <w:rPr>
            <w:noProof/>
            <w:webHidden/>
          </w:rPr>
          <w:fldChar w:fldCharType="separate"/>
        </w:r>
        <w:r w:rsidR="00E657F5">
          <w:rPr>
            <w:noProof/>
            <w:webHidden/>
          </w:rPr>
          <w:t>46</w:t>
        </w:r>
        <w:r w:rsidR="00E657F5">
          <w:rPr>
            <w:noProof/>
            <w:webHidden/>
          </w:rPr>
          <w:fldChar w:fldCharType="end"/>
        </w:r>
      </w:hyperlink>
    </w:p>
    <w:p w14:paraId="55C51EBC" w14:textId="77777777" w:rsidR="00C47474" w:rsidRDefault="00765D0C">
      <w:pPr>
        <w:pStyle w:val="TableofFigures"/>
        <w:tabs>
          <w:tab w:val="right" w:leader="dot" w:pos="9010"/>
        </w:tabs>
        <w:rPr>
          <w:rFonts w:asciiTheme="minorHAnsi" w:eastAsiaTheme="minorEastAsia" w:hAnsiTheme="minorHAnsi" w:cstheme="minorBidi"/>
          <w:noProof/>
          <w:color w:val="auto"/>
          <w:sz w:val="22"/>
          <w:szCs w:val="22"/>
          <w:lang w:eastAsia="en-GB"/>
        </w:rPr>
      </w:pPr>
      <w:hyperlink w:anchor="_Toc120010320" w:history="1">
        <w:r w:rsidR="00E657F5" w:rsidRPr="00220C02">
          <w:rPr>
            <w:rStyle w:val="Hyperlink"/>
            <w:noProof/>
          </w:rPr>
          <w:t>Table 13 – Footway and Cycletrack sub-base, base and surfacing materials and thicknesses</w:t>
        </w:r>
        <w:r w:rsidR="00E657F5">
          <w:rPr>
            <w:noProof/>
            <w:webHidden/>
          </w:rPr>
          <w:tab/>
        </w:r>
        <w:r w:rsidR="00E657F5">
          <w:rPr>
            <w:noProof/>
            <w:webHidden/>
          </w:rPr>
          <w:fldChar w:fldCharType="begin"/>
        </w:r>
        <w:r w:rsidR="00E657F5">
          <w:rPr>
            <w:noProof/>
            <w:webHidden/>
          </w:rPr>
          <w:instrText xml:space="preserve"> PAGEREF _Toc120010320 \h </w:instrText>
        </w:r>
        <w:r w:rsidR="00E657F5">
          <w:rPr>
            <w:noProof/>
            <w:webHidden/>
          </w:rPr>
        </w:r>
        <w:r w:rsidR="00E657F5">
          <w:rPr>
            <w:noProof/>
            <w:webHidden/>
          </w:rPr>
          <w:fldChar w:fldCharType="separate"/>
        </w:r>
        <w:r w:rsidR="00E657F5">
          <w:rPr>
            <w:noProof/>
            <w:webHidden/>
          </w:rPr>
          <w:t>48</w:t>
        </w:r>
        <w:r w:rsidR="00E657F5">
          <w:rPr>
            <w:noProof/>
            <w:webHidden/>
          </w:rPr>
          <w:fldChar w:fldCharType="end"/>
        </w:r>
      </w:hyperlink>
    </w:p>
    <w:p w14:paraId="0638F9DA" w14:textId="77777777" w:rsidR="00B42A9D" w:rsidRDefault="00E657F5" w:rsidP="005518EB">
      <w:pPr>
        <w:autoSpaceDE/>
        <w:autoSpaceDN/>
        <w:adjustRightInd/>
        <w:spacing w:after="0"/>
        <w:jc w:val="left"/>
        <w:rPr>
          <w:highlight w:val="lightGray"/>
        </w:rPr>
      </w:pPr>
      <w:r>
        <w:rPr>
          <w:highlight w:val="lightGray"/>
        </w:rPr>
        <w:fldChar w:fldCharType="end"/>
      </w:r>
    </w:p>
    <w:p w14:paraId="52D5D4B8" w14:textId="77777777" w:rsidR="00B42A9D" w:rsidRDefault="00E657F5">
      <w:pPr>
        <w:autoSpaceDE/>
        <w:autoSpaceDN/>
        <w:adjustRightInd/>
        <w:spacing w:after="0"/>
        <w:jc w:val="left"/>
        <w:rPr>
          <w:highlight w:val="lightGray"/>
        </w:rPr>
      </w:pPr>
      <w:r>
        <w:rPr>
          <w:highlight w:val="lightGray"/>
        </w:rPr>
        <w:br w:type="page"/>
      </w:r>
    </w:p>
    <w:p w14:paraId="704E7D58" w14:textId="77777777" w:rsidR="00456DDD" w:rsidRPr="00D12C93" w:rsidRDefault="00E657F5" w:rsidP="005518EB">
      <w:pPr>
        <w:pStyle w:val="Heading1"/>
        <w:numPr>
          <w:ilvl w:val="0"/>
          <w:numId w:val="0"/>
        </w:numPr>
        <w:ind w:left="432" w:hanging="432"/>
      </w:pPr>
      <w:bookmarkStart w:id="1" w:name="_Toc123738089"/>
      <w:r w:rsidRPr="00D12C93">
        <w:t>Glossary</w:t>
      </w:r>
      <w:r w:rsidR="00B42A9D" w:rsidRPr="00D12C93">
        <w:t xml:space="preserve"> </w:t>
      </w:r>
      <w:r w:rsidR="00B42A9D" w:rsidRPr="005518EB">
        <w:t>of</w:t>
      </w:r>
      <w:r w:rsidR="00B42A9D" w:rsidRPr="00D12C93">
        <w:t xml:space="preserve"> abbreviations</w:t>
      </w:r>
      <w:bookmarkEnd w:id="1"/>
    </w:p>
    <w:tbl>
      <w:tblPr>
        <w:tblStyle w:val="TableGrid"/>
        <w:tblW w:w="0" w:type="auto"/>
        <w:tblLook w:val="04A0" w:firstRow="1" w:lastRow="0" w:firstColumn="1" w:lastColumn="0" w:noHBand="0" w:noVBand="1"/>
      </w:tblPr>
      <w:tblGrid>
        <w:gridCol w:w="1413"/>
        <w:gridCol w:w="7597"/>
      </w:tblGrid>
      <w:tr w:rsidR="00B933CA" w14:paraId="115EF929" w14:textId="77777777" w:rsidTr="00D12C93">
        <w:trPr>
          <w:trHeight w:val="58"/>
        </w:trPr>
        <w:tc>
          <w:tcPr>
            <w:tcW w:w="1413" w:type="dxa"/>
            <w:vAlign w:val="center"/>
          </w:tcPr>
          <w:p w14:paraId="0E2B8565" w14:textId="77777777" w:rsidR="00D12C93" w:rsidRDefault="00E657F5" w:rsidP="00D12C93">
            <w:pPr>
              <w:pStyle w:val="BodyText"/>
              <w:spacing w:after="0"/>
              <w:rPr>
                <w:highlight w:val="lightGray"/>
                <w:lang w:eastAsia="en-GB"/>
              </w:rPr>
            </w:pPr>
            <w:r>
              <w:rPr>
                <w:rFonts w:cs="Arial"/>
                <w:sz w:val="22"/>
                <w:szCs w:val="22"/>
              </w:rPr>
              <w:t>AC</w:t>
            </w:r>
          </w:p>
        </w:tc>
        <w:tc>
          <w:tcPr>
            <w:tcW w:w="7597" w:type="dxa"/>
            <w:vAlign w:val="center"/>
          </w:tcPr>
          <w:p w14:paraId="36A920E0" w14:textId="77777777" w:rsidR="00D12C93" w:rsidRDefault="00E657F5" w:rsidP="00D12C93">
            <w:pPr>
              <w:pStyle w:val="BodyText"/>
              <w:spacing w:after="0"/>
              <w:rPr>
                <w:highlight w:val="lightGray"/>
                <w:lang w:eastAsia="en-GB"/>
              </w:rPr>
            </w:pPr>
            <w:r>
              <w:rPr>
                <w:rFonts w:cs="Arial"/>
                <w:sz w:val="22"/>
                <w:szCs w:val="22"/>
              </w:rPr>
              <w:t>Asphalt Concrete</w:t>
            </w:r>
          </w:p>
        </w:tc>
      </w:tr>
      <w:tr w:rsidR="00B933CA" w14:paraId="2548EACF" w14:textId="77777777" w:rsidTr="00D12C93">
        <w:tc>
          <w:tcPr>
            <w:tcW w:w="1413" w:type="dxa"/>
            <w:vAlign w:val="center"/>
          </w:tcPr>
          <w:p w14:paraId="03894DD3" w14:textId="77777777" w:rsidR="00D12C93" w:rsidRDefault="00E657F5" w:rsidP="00D12C93">
            <w:pPr>
              <w:pStyle w:val="BodyText"/>
              <w:spacing w:after="0"/>
              <w:rPr>
                <w:highlight w:val="lightGray"/>
                <w:lang w:eastAsia="en-GB"/>
              </w:rPr>
            </w:pPr>
            <w:r>
              <w:rPr>
                <w:rFonts w:cs="Arial"/>
                <w:sz w:val="22"/>
                <w:szCs w:val="22"/>
              </w:rPr>
              <w:t>AGS</w:t>
            </w:r>
          </w:p>
        </w:tc>
        <w:tc>
          <w:tcPr>
            <w:tcW w:w="7597" w:type="dxa"/>
            <w:vAlign w:val="center"/>
          </w:tcPr>
          <w:p w14:paraId="457B4668" w14:textId="77777777" w:rsidR="00D12C93" w:rsidRDefault="00E657F5" w:rsidP="00D12C93">
            <w:pPr>
              <w:pStyle w:val="BodyText"/>
              <w:spacing w:after="0"/>
              <w:rPr>
                <w:highlight w:val="lightGray"/>
                <w:lang w:eastAsia="en-GB"/>
              </w:rPr>
            </w:pPr>
            <w:r>
              <w:rPr>
                <w:rFonts w:cs="Arial"/>
                <w:sz w:val="22"/>
                <w:szCs w:val="22"/>
              </w:rPr>
              <w:t>Association of Geotechnical &amp; Geotechnical Specialists</w:t>
            </w:r>
          </w:p>
        </w:tc>
      </w:tr>
      <w:tr w:rsidR="00B933CA" w14:paraId="6041EB77" w14:textId="77777777" w:rsidTr="00D12C93">
        <w:tc>
          <w:tcPr>
            <w:tcW w:w="1413" w:type="dxa"/>
            <w:vAlign w:val="center"/>
          </w:tcPr>
          <w:p w14:paraId="7964D7AB" w14:textId="77777777" w:rsidR="00D12C93" w:rsidRDefault="00E657F5" w:rsidP="00D12C93">
            <w:pPr>
              <w:pStyle w:val="BodyText"/>
              <w:spacing w:after="0"/>
              <w:rPr>
                <w:highlight w:val="lightGray"/>
                <w:lang w:eastAsia="en-GB"/>
              </w:rPr>
            </w:pPr>
            <w:r>
              <w:rPr>
                <w:rFonts w:cs="Arial"/>
                <w:sz w:val="22"/>
                <w:szCs w:val="22"/>
              </w:rPr>
              <w:t>AAV</w:t>
            </w:r>
          </w:p>
        </w:tc>
        <w:tc>
          <w:tcPr>
            <w:tcW w:w="7597" w:type="dxa"/>
            <w:vAlign w:val="center"/>
          </w:tcPr>
          <w:p w14:paraId="2CB2BE79" w14:textId="77777777" w:rsidR="00D12C93" w:rsidRDefault="00E657F5" w:rsidP="00D12C93">
            <w:pPr>
              <w:pStyle w:val="BodyText"/>
              <w:spacing w:after="0"/>
              <w:rPr>
                <w:highlight w:val="lightGray"/>
                <w:lang w:eastAsia="en-GB"/>
              </w:rPr>
            </w:pPr>
            <w:r>
              <w:rPr>
                <w:rFonts w:cs="Arial"/>
                <w:sz w:val="22"/>
                <w:szCs w:val="22"/>
              </w:rPr>
              <w:t>Aggregate Abrasion Value</w:t>
            </w:r>
          </w:p>
        </w:tc>
      </w:tr>
      <w:tr w:rsidR="00B933CA" w14:paraId="7D2D4828" w14:textId="77777777" w:rsidTr="00D12C93">
        <w:tc>
          <w:tcPr>
            <w:tcW w:w="1413" w:type="dxa"/>
            <w:vAlign w:val="center"/>
          </w:tcPr>
          <w:p w14:paraId="5BF32752" w14:textId="77777777" w:rsidR="00D12C93" w:rsidRDefault="00E657F5" w:rsidP="00D12C93">
            <w:pPr>
              <w:pStyle w:val="BodyText"/>
              <w:spacing w:after="0"/>
              <w:rPr>
                <w:highlight w:val="lightGray"/>
                <w:lang w:eastAsia="en-GB"/>
              </w:rPr>
            </w:pPr>
            <w:r>
              <w:rPr>
                <w:rFonts w:cs="Arial"/>
                <w:sz w:val="22"/>
                <w:szCs w:val="22"/>
              </w:rPr>
              <w:t>AIP</w:t>
            </w:r>
          </w:p>
        </w:tc>
        <w:tc>
          <w:tcPr>
            <w:tcW w:w="7597" w:type="dxa"/>
            <w:vAlign w:val="center"/>
          </w:tcPr>
          <w:p w14:paraId="1A384EA1" w14:textId="77777777" w:rsidR="00D12C93" w:rsidRDefault="00E657F5" w:rsidP="00D12C93">
            <w:pPr>
              <w:pStyle w:val="BodyText"/>
              <w:spacing w:after="0"/>
              <w:rPr>
                <w:highlight w:val="lightGray"/>
                <w:lang w:eastAsia="en-GB"/>
              </w:rPr>
            </w:pPr>
            <w:r>
              <w:rPr>
                <w:rFonts w:cs="Arial"/>
                <w:sz w:val="22"/>
                <w:szCs w:val="22"/>
              </w:rPr>
              <w:t>Approval in Principle</w:t>
            </w:r>
          </w:p>
        </w:tc>
      </w:tr>
      <w:tr w:rsidR="00B933CA" w14:paraId="6C922702" w14:textId="77777777" w:rsidTr="00D12C93">
        <w:tc>
          <w:tcPr>
            <w:tcW w:w="1413" w:type="dxa"/>
            <w:vAlign w:val="center"/>
          </w:tcPr>
          <w:p w14:paraId="4D362649" w14:textId="77777777" w:rsidR="00D12C93" w:rsidRPr="00D12C93" w:rsidRDefault="00E657F5" w:rsidP="00D12C93">
            <w:pPr>
              <w:pStyle w:val="BodyText"/>
              <w:spacing w:after="0"/>
              <w:rPr>
                <w:rFonts w:cs="Arial"/>
                <w:sz w:val="22"/>
                <w:szCs w:val="22"/>
              </w:rPr>
            </w:pPr>
            <w:r w:rsidRPr="00D12C93">
              <w:rPr>
                <w:rFonts w:cs="Arial"/>
                <w:sz w:val="22"/>
                <w:szCs w:val="22"/>
              </w:rPr>
              <w:t>BS</w:t>
            </w:r>
          </w:p>
        </w:tc>
        <w:tc>
          <w:tcPr>
            <w:tcW w:w="7597" w:type="dxa"/>
            <w:vAlign w:val="center"/>
          </w:tcPr>
          <w:p w14:paraId="31678CD2" w14:textId="77777777" w:rsidR="00D12C93" w:rsidRPr="00D12C93" w:rsidRDefault="00E657F5" w:rsidP="00D12C93">
            <w:pPr>
              <w:pStyle w:val="BodyText"/>
              <w:spacing w:after="0"/>
              <w:rPr>
                <w:rFonts w:cs="Arial"/>
                <w:sz w:val="22"/>
                <w:szCs w:val="22"/>
              </w:rPr>
            </w:pPr>
            <w:r w:rsidRPr="00D12C93">
              <w:rPr>
                <w:rFonts w:cs="Arial"/>
                <w:sz w:val="22"/>
                <w:szCs w:val="22"/>
              </w:rPr>
              <w:t>British Standard</w:t>
            </w:r>
          </w:p>
        </w:tc>
      </w:tr>
      <w:tr w:rsidR="00B933CA" w14:paraId="00F606DB" w14:textId="77777777" w:rsidTr="00D12C93">
        <w:tc>
          <w:tcPr>
            <w:tcW w:w="1413" w:type="dxa"/>
            <w:vAlign w:val="center"/>
          </w:tcPr>
          <w:p w14:paraId="3DEF65F2" w14:textId="77777777" w:rsidR="00D12C93" w:rsidRDefault="00E657F5" w:rsidP="00D12C93">
            <w:pPr>
              <w:pStyle w:val="BodyText"/>
              <w:spacing w:after="0"/>
              <w:rPr>
                <w:highlight w:val="lightGray"/>
                <w:lang w:eastAsia="en-GB"/>
              </w:rPr>
            </w:pPr>
            <w:r>
              <w:rPr>
                <w:rFonts w:cs="Arial"/>
                <w:sz w:val="22"/>
                <w:szCs w:val="22"/>
              </w:rPr>
              <w:t>BS EN</w:t>
            </w:r>
          </w:p>
        </w:tc>
        <w:tc>
          <w:tcPr>
            <w:tcW w:w="7597" w:type="dxa"/>
            <w:vAlign w:val="center"/>
          </w:tcPr>
          <w:p w14:paraId="2426D63F" w14:textId="77777777" w:rsidR="00D12C93" w:rsidRDefault="00E657F5" w:rsidP="00D12C93">
            <w:pPr>
              <w:pStyle w:val="BodyText"/>
              <w:spacing w:after="0"/>
              <w:rPr>
                <w:highlight w:val="lightGray"/>
                <w:lang w:eastAsia="en-GB"/>
              </w:rPr>
            </w:pPr>
            <w:r>
              <w:rPr>
                <w:rFonts w:cs="Arial"/>
                <w:sz w:val="22"/>
                <w:szCs w:val="22"/>
              </w:rPr>
              <w:t>Designated British Standard version of a European Standard that has been adopted by a regional European standardising body</w:t>
            </w:r>
          </w:p>
        </w:tc>
      </w:tr>
      <w:tr w:rsidR="00B933CA" w14:paraId="28A6EDB4" w14:textId="77777777" w:rsidTr="00D12C93">
        <w:tc>
          <w:tcPr>
            <w:tcW w:w="1413" w:type="dxa"/>
            <w:vAlign w:val="center"/>
          </w:tcPr>
          <w:p w14:paraId="7971BC79" w14:textId="77777777" w:rsidR="00D12C93" w:rsidRDefault="00E657F5" w:rsidP="00D12C93">
            <w:pPr>
              <w:pStyle w:val="BodyText"/>
              <w:spacing w:after="0"/>
              <w:rPr>
                <w:highlight w:val="lightGray"/>
                <w:lang w:eastAsia="en-GB"/>
              </w:rPr>
            </w:pPr>
            <w:r>
              <w:rPr>
                <w:rFonts w:cs="Arial"/>
                <w:sz w:val="22"/>
                <w:szCs w:val="22"/>
              </w:rPr>
              <w:t>BS EN ISO</w:t>
            </w:r>
          </w:p>
        </w:tc>
        <w:tc>
          <w:tcPr>
            <w:tcW w:w="7597" w:type="dxa"/>
            <w:vAlign w:val="center"/>
          </w:tcPr>
          <w:p w14:paraId="1B5861A6" w14:textId="77777777" w:rsidR="00D12C93" w:rsidRDefault="00E657F5" w:rsidP="00D12C93">
            <w:pPr>
              <w:pStyle w:val="BodyText"/>
              <w:spacing w:after="0"/>
              <w:rPr>
                <w:highlight w:val="lightGray"/>
                <w:lang w:eastAsia="en-GB"/>
              </w:rPr>
            </w:pPr>
            <w:r>
              <w:rPr>
                <w:rFonts w:cs="Arial"/>
                <w:sz w:val="22"/>
                <w:szCs w:val="22"/>
              </w:rPr>
              <w:t>An International Standard, adopted at European level, released in British English, by the British Standards Institute</w:t>
            </w:r>
          </w:p>
        </w:tc>
      </w:tr>
      <w:tr w:rsidR="00B933CA" w14:paraId="62747DC6" w14:textId="77777777" w:rsidTr="00D12C93">
        <w:tc>
          <w:tcPr>
            <w:tcW w:w="1413" w:type="dxa"/>
            <w:vAlign w:val="center"/>
          </w:tcPr>
          <w:p w14:paraId="26F9E869" w14:textId="77777777" w:rsidR="00D12C93" w:rsidRDefault="00E657F5" w:rsidP="00D12C93">
            <w:pPr>
              <w:pStyle w:val="BodyText"/>
              <w:spacing w:after="0"/>
              <w:rPr>
                <w:highlight w:val="lightGray"/>
                <w:lang w:eastAsia="en-GB"/>
              </w:rPr>
            </w:pPr>
            <w:r>
              <w:rPr>
                <w:rFonts w:cs="Arial"/>
                <w:sz w:val="22"/>
                <w:szCs w:val="22"/>
              </w:rPr>
              <w:t>CBGM</w:t>
            </w:r>
          </w:p>
        </w:tc>
        <w:tc>
          <w:tcPr>
            <w:tcW w:w="7597" w:type="dxa"/>
            <w:vAlign w:val="center"/>
          </w:tcPr>
          <w:p w14:paraId="5C55CBB3" w14:textId="77777777" w:rsidR="00D12C93" w:rsidRDefault="00E657F5" w:rsidP="00D12C93">
            <w:pPr>
              <w:pStyle w:val="BodyText"/>
              <w:spacing w:after="0"/>
              <w:rPr>
                <w:highlight w:val="lightGray"/>
                <w:lang w:eastAsia="en-GB"/>
              </w:rPr>
            </w:pPr>
            <w:r>
              <w:rPr>
                <w:rFonts w:cs="Arial"/>
                <w:sz w:val="22"/>
                <w:szCs w:val="22"/>
              </w:rPr>
              <w:t>Cement Bound Granular Mixture</w:t>
            </w:r>
          </w:p>
        </w:tc>
      </w:tr>
      <w:tr w:rsidR="00B933CA" w14:paraId="1AF1A766" w14:textId="77777777" w:rsidTr="00D12C93">
        <w:tc>
          <w:tcPr>
            <w:tcW w:w="1413" w:type="dxa"/>
            <w:vAlign w:val="center"/>
          </w:tcPr>
          <w:p w14:paraId="2A09F66A" w14:textId="77777777" w:rsidR="00D12C93" w:rsidRDefault="00E657F5" w:rsidP="00D12C93">
            <w:pPr>
              <w:pStyle w:val="BodyText"/>
              <w:spacing w:after="0"/>
              <w:rPr>
                <w:highlight w:val="lightGray"/>
                <w:lang w:eastAsia="en-GB"/>
              </w:rPr>
            </w:pPr>
            <w:r>
              <w:rPr>
                <w:rFonts w:cs="Arial"/>
                <w:sz w:val="22"/>
                <w:szCs w:val="22"/>
              </w:rPr>
              <w:t>CBR</w:t>
            </w:r>
          </w:p>
        </w:tc>
        <w:tc>
          <w:tcPr>
            <w:tcW w:w="7597" w:type="dxa"/>
            <w:vAlign w:val="center"/>
          </w:tcPr>
          <w:p w14:paraId="5B3F000C" w14:textId="77777777" w:rsidR="00D12C93" w:rsidRDefault="00E657F5" w:rsidP="00D12C93">
            <w:pPr>
              <w:pStyle w:val="BodyText"/>
              <w:spacing w:after="0"/>
              <w:rPr>
                <w:highlight w:val="lightGray"/>
                <w:lang w:eastAsia="en-GB"/>
              </w:rPr>
            </w:pPr>
            <w:r>
              <w:rPr>
                <w:rFonts w:cs="Arial"/>
                <w:sz w:val="22"/>
                <w:szCs w:val="22"/>
              </w:rPr>
              <w:t xml:space="preserve">California Bearing Ratio </w:t>
            </w:r>
          </w:p>
        </w:tc>
      </w:tr>
      <w:tr w:rsidR="00B933CA" w14:paraId="3B8B55D7" w14:textId="77777777" w:rsidTr="00D12C93">
        <w:tc>
          <w:tcPr>
            <w:tcW w:w="1413" w:type="dxa"/>
            <w:vAlign w:val="center"/>
          </w:tcPr>
          <w:p w14:paraId="43AFC221" w14:textId="77777777" w:rsidR="00D12C93" w:rsidRDefault="00E657F5" w:rsidP="00D12C93">
            <w:pPr>
              <w:pStyle w:val="BodyText"/>
              <w:spacing w:after="0"/>
              <w:rPr>
                <w:highlight w:val="lightGray"/>
                <w:lang w:eastAsia="en-GB"/>
              </w:rPr>
            </w:pPr>
            <w:r>
              <w:rPr>
                <w:rFonts w:cs="Arial"/>
                <w:sz w:val="22"/>
                <w:szCs w:val="22"/>
              </w:rPr>
              <w:t>CE</w:t>
            </w:r>
          </w:p>
        </w:tc>
        <w:tc>
          <w:tcPr>
            <w:tcW w:w="7597" w:type="dxa"/>
            <w:vAlign w:val="center"/>
          </w:tcPr>
          <w:p w14:paraId="48B7502B" w14:textId="77777777" w:rsidR="00D12C93" w:rsidRDefault="00E657F5" w:rsidP="00D12C93">
            <w:pPr>
              <w:pStyle w:val="BodyText"/>
              <w:spacing w:after="0"/>
              <w:rPr>
                <w:highlight w:val="lightGray"/>
                <w:lang w:eastAsia="en-GB"/>
              </w:rPr>
            </w:pPr>
            <w:r>
              <w:rPr>
                <w:rFonts w:cs="Arial"/>
                <w:sz w:val="22"/>
                <w:szCs w:val="22"/>
              </w:rPr>
              <w:t>Conformity with European health, safety, and environmental protection standard</w:t>
            </w:r>
          </w:p>
        </w:tc>
      </w:tr>
      <w:tr w:rsidR="00B933CA" w14:paraId="5240B5D9" w14:textId="77777777" w:rsidTr="00D12C93">
        <w:tc>
          <w:tcPr>
            <w:tcW w:w="1413" w:type="dxa"/>
            <w:vAlign w:val="center"/>
          </w:tcPr>
          <w:p w14:paraId="6B68F93C" w14:textId="77777777" w:rsidR="00D12C93" w:rsidRDefault="00E657F5" w:rsidP="00D12C93">
            <w:pPr>
              <w:pStyle w:val="BodyText"/>
              <w:spacing w:after="0"/>
              <w:rPr>
                <w:highlight w:val="lightGray"/>
                <w:lang w:eastAsia="en-GB"/>
              </w:rPr>
            </w:pPr>
            <w:r>
              <w:rPr>
                <w:rFonts w:cs="Arial"/>
                <w:sz w:val="22"/>
                <w:szCs w:val="22"/>
              </w:rPr>
              <w:t>CRBM</w:t>
            </w:r>
          </w:p>
        </w:tc>
        <w:tc>
          <w:tcPr>
            <w:tcW w:w="7597" w:type="dxa"/>
            <w:vAlign w:val="center"/>
          </w:tcPr>
          <w:p w14:paraId="352E74B9" w14:textId="77777777" w:rsidR="00D12C93" w:rsidRDefault="00E657F5" w:rsidP="00D12C93">
            <w:pPr>
              <w:pStyle w:val="BodyText"/>
              <w:spacing w:after="0"/>
              <w:rPr>
                <w:highlight w:val="lightGray"/>
                <w:lang w:eastAsia="en-GB"/>
              </w:rPr>
            </w:pPr>
            <w:r>
              <w:rPr>
                <w:rFonts w:cs="Arial"/>
                <w:sz w:val="22"/>
                <w:szCs w:val="22"/>
              </w:rPr>
              <w:t>Cold Recycled Bound Material</w:t>
            </w:r>
          </w:p>
        </w:tc>
      </w:tr>
      <w:tr w:rsidR="00B933CA" w14:paraId="3A912B97" w14:textId="77777777" w:rsidTr="00D12C93">
        <w:tc>
          <w:tcPr>
            <w:tcW w:w="1413" w:type="dxa"/>
            <w:vAlign w:val="center"/>
          </w:tcPr>
          <w:p w14:paraId="178D1B1A" w14:textId="77777777" w:rsidR="00D12C93" w:rsidRDefault="00E657F5" w:rsidP="00D12C93">
            <w:pPr>
              <w:pStyle w:val="BodyText"/>
              <w:spacing w:after="0"/>
              <w:rPr>
                <w:highlight w:val="lightGray"/>
                <w:lang w:eastAsia="en-GB"/>
              </w:rPr>
            </w:pPr>
            <w:r>
              <w:rPr>
                <w:rFonts w:cs="Arial"/>
                <w:sz w:val="22"/>
                <w:szCs w:val="22"/>
              </w:rPr>
              <w:t xml:space="preserve">DfT </w:t>
            </w:r>
          </w:p>
        </w:tc>
        <w:tc>
          <w:tcPr>
            <w:tcW w:w="7597" w:type="dxa"/>
            <w:vAlign w:val="center"/>
          </w:tcPr>
          <w:p w14:paraId="1B55830C" w14:textId="77777777" w:rsidR="00D12C93" w:rsidRDefault="00E657F5" w:rsidP="00D12C93">
            <w:pPr>
              <w:pStyle w:val="BodyText"/>
              <w:spacing w:after="0"/>
              <w:rPr>
                <w:highlight w:val="lightGray"/>
                <w:lang w:eastAsia="en-GB"/>
              </w:rPr>
            </w:pPr>
            <w:r>
              <w:rPr>
                <w:rFonts w:cs="Arial"/>
                <w:sz w:val="22"/>
                <w:szCs w:val="22"/>
              </w:rPr>
              <w:t>Department for Transport</w:t>
            </w:r>
          </w:p>
        </w:tc>
      </w:tr>
      <w:tr w:rsidR="00B933CA" w14:paraId="40CEA619" w14:textId="77777777" w:rsidTr="00D12C93">
        <w:tc>
          <w:tcPr>
            <w:tcW w:w="1413" w:type="dxa"/>
            <w:vAlign w:val="center"/>
          </w:tcPr>
          <w:p w14:paraId="6E421D97" w14:textId="77777777" w:rsidR="00D12C93" w:rsidRDefault="00E657F5" w:rsidP="00D12C93">
            <w:pPr>
              <w:pStyle w:val="BodyText"/>
              <w:spacing w:after="0"/>
              <w:rPr>
                <w:highlight w:val="lightGray"/>
                <w:lang w:eastAsia="en-GB"/>
              </w:rPr>
            </w:pPr>
            <w:r>
              <w:rPr>
                <w:rFonts w:cs="Arial"/>
                <w:sz w:val="22"/>
                <w:szCs w:val="22"/>
              </w:rPr>
              <w:t>DMRB</w:t>
            </w:r>
          </w:p>
        </w:tc>
        <w:tc>
          <w:tcPr>
            <w:tcW w:w="7597" w:type="dxa"/>
            <w:vAlign w:val="center"/>
          </w:tcPr>
          <w:p w14:paraId="79760C9C" w14:textId="77777777" w:rsidR="00D12C93" w:rsidRDefault="00E657F5" w:rsidP="00D12C93">
            <w:pPr>
              <w:pStyle w:val="BodyText"/>
              <w:spacing w:after="0"/>
              <w:rPr>
                <w:highlight w:val="lightGray"/>
                <w:lang w:eastAsia="en-GB"/>
              </w:rPr>
            </w:pPr>
            <w:r>
              <w:rPr>
                <w:rFonts w:cs="Arial"/>
                <w:sz w:val="22"/>
                <w:szCs w:val="22"/>
              </w:rPr>
              <w:t xml:space="preserve">Design Manual for Roads and Bridges </w:t>
            </w:r>
          </w:p>
        </w:tc>
      </w:tr>
      <w:tr w:rsidR="00B933CA" w14:paraId="4E0D1839" w14:textId="77777777" w:rsidTr="00D12C93">
        <w:tc>
          <w:tcPr>
            <w:tcW w:w="1413" w:type="dxa"/>
            <w:vAlign w:val="center"/>
          </w:tcPr>
          <w:p w14:paraId="52C6D670" w14:textId="77777777" w:rsidR="00D12C93" w:rsidRDefault="00E657F5" w:rsidP="00D12C93">
            <w:pPr>
              <w:pStyle w:val="BodyText"/>
              <w:spacing w:after="0"/>
              <w:rPr>
                <w:highlight w:val="lightGray"/>
                <w:lang w:eastAsia="en-GB"/>
              </w:rPr>
            </w:pPr>
            <w:r>
              <w:rPr>
                <w:rFonts w:cs="Arial"/>
                <w:sz w:val="22"/>
                <w:szCs w:val="22"/>
              </w:rPr>
              <w:t>DNO</w:t>
            </w:r>
          </w:p>
        </w:tc>
        <w:tc>
          <w:tcPr>
            <w:tcW w:w="7597" w:type="dxa"/>
            <w:vAlign w:val="center"/>
          </w:tcPr>
          <w:p w14:paraId="311D59DC" w14:textId="77777777" w:rsidR="00D12C93" w:rsidRDefault="00E657F5" w:rsidP="00D12C93">
            <w:pPr>
              <w:pStyle w:val="BodyText"/>
              <w:spacing w:after="0"/>
              <w:rPr>
                <w:highlight w:val="lightGray"/>
                <w:lang w:eastAsia="en-GB"/>
              </w:rPr>
            </w:pPr>
            <w:r>
              <w:rPr>
                <w:rFonts w:cs="Arial"/>
                <w:sz w:val="22"/>
                <w:szCs w:val="22"/>
              </w:rPr>
              <w:t>Distribution Network Operator</w:t>
            </w:r>
          </w:p>
        </w:tc>
      </w:tr>
      <w:tr w:rsidR="00B933CA" w14:paraId="399B8E13" w14:textId="77777777" w:rsidTr="00D12C93">
        <w:tc>
          <w:tcPr>
            <w:tcW w:w="1413" w:type="dxa"/>
            <w:vAlign w:val="center"/>
          </w:tcPr>
          <w:p w14:paraId="67673199" w14:textId="77777777" w:rsidR="00D12C93" w:rsidRDefault="00E657F5" w:rsidP="00D12C93">
            <w:pPr>
              <w:pStyle w:val="BodyText"/>
              <w:spacing w:after="0"/>
              <w:rPr>
                <w:highlight w:val="lightGray"/>
                <w:lang w:eastAsia="en-GB"/>
              </w:rPr>
            </w:pPr>
            <w:r>
              <w:rPr>
                <w:rFonts w:cs="Arial"/>
                <w:sz w:val="22"/>
                <w:szCs w:val="22"/>
              </w:rPr>
              <w:t>ELA</w:t>
            </w:r>
          </w:p>
        </w:tc>
        <w:tc>
          <w:tcPr>
            <w:tcW w:w="7597" w:type="dxa"/>
            <w:vAlign w:val="center"/>
          </w:tcPr>
          <w:p w14:paraId="7CE6B430" w14:textId="77777777" w:rsidR="00D12C93" w:rsidRDefault="00E657F5" w:rsidP="00D12C93">
            <w:pPr>
              <w:pStyle w:val="BodyText"/>
              <w:spacing w:after="0"/>
              <w:rPr>
                <w:highlight w:val="lightGray"/>
                <w:lang w:eastAsia="en-GB"/>
              </w:rPr>
            </w:pPr>
            <w:r>
              <w:rPr>
                <w:rFonts w:cs="Arial"/>
                <w:sz w:val="22"/>
                <w:szCs w:val="22"/>
              </w:rPr>
              <w:t xml:space="preserve">Energy Liability Acceptance </w:t>
            </w:r>
          </w:p>
        </w:tc>
      </w:tr>
      <w:tr w:rsidR="00B933CA" w14:paraId="18BC771C" w14:textId="77777777" w:rsidTr="00D12C93">
        <w:tc>
          <w:tcPr>
            <w:tcW w:w="1413" w:type="dxa"/>
            <w:vAlign w:val="center"/>
          </w:tcPr>
          <w:p w14:paraId="1FA63377" w14:textId="77777777" w:rsidR="00D12C93" w:rsidRDefault="00E657F5" w:rsidP="00D12C93">
            <w:pPr>
              <w:pStyle w:val="BodyText"/>
              <w:spacing w:after="0"/>
              <w:rPr>
                <w:highlight w:val="lightGray"/>
                <w:lang w:eastAsia="en-GB"/>
              </w:rPr>
            </w:pPr>
            <w:r>
              <w:rPr>
                <w:rFonts w:cs="Arial"/>
                <w:sz w:val="22"/>
                <w:szCs w:val="22"/>
              </w:rPr>
              <w:t>EU</w:t>
            </w:r>
          </w:p>
        </w:tc>
        <w:tc>
          <w:tcPr>
            <w:tcW w:w="7597" w:type="dxa"/>
            <w:vAlign w:val="center"/>
          </w:tcPr>
          <w:p w14:paraId="4611176C" w14:textId="77777777" w:rsidR="00D12C93" w:rsidRDefault="00E657F5" w:rsidP="00D12C93">
            <w:pPr>
              <w:pStyle w:val="BodyText"/>
              <w:spacing w:after="0"/>
              <w:rPr>
                <w:highlight w:val="lightGray"/>
                <w:lang w:eastAsia="en-GB"/>
              </w:rPr>
            </w:pPr>
            <w:r>
              <w:rPr>
                <w:rFonts w:cs="Arial"/>
                <w:sz w:val="22"/>
                <w:szCs w:val="22"/>
              </w:rPr>
              <w:t>European Union</w:t>
            </w:r>
          </w:p>
        </w:tc>
      </w:tr>
      <w:tr w:rsidR="00B933CA" w14:paraId="256A9B7A" w14:textId="77777777" w:rsidTr="00D12C93">
        <w:tc>
          <w:tcPr>
            <w:tcW w:w="1413" w:type="dxa"/>
            <w:vAlign w:val="center"/>
          </w:tcPr>
          <w:p w14:paraId="11321DBB" w14:textId="77777777" w:rsidR="00D12C93" w:rsidRDefault="00E657F5" w:rsidP="00D12C93">
            <w:pPr>
              <w:pStyle w:val="BodyText"/>
              <w:spacing w:after="0"/>
              <w:rPr>
                <w:highlight w:val="lightGray"/>
                <w:lang w:eastAsia="en-GB"/>
              </w:rPr>
            </w:pPr>
            <w:r>
              <w:rPr>
                <w:rFonts w:cs="Arial"/>
                <w:sz w:val="22"/>
                <w:szCs w:val="22"/>
              </w:rPr>
              <w:t>FWD</w:t>
            </w:r>
          </w:p>
        </w:tc>
        <w:tc>
          <w:tcPr>
            <w:tcW w:w="7597" w:type="dxa"/>
            <w:vAlign w:val="center"/>
          </w:tcPr>
          <w:p w14:paraId="4AAB3705" w14:textId="77777777" w:rsidR="00D12C93" w:rsidRDefault="00E657F5" w:rsidP="00D12C93">
            <w:pPr>
              <w:pStyle w:val="BodyText"/>
              <w:spacing w:after="0"/>
              <w:rPr>
                <w:highlight w:val="lightGray"/>
                <w:lang w:eastAsia="en-GB"/>
              </w:rPr>
            </w:pPr>
            <w:r>
              <w:rPr>
                <w:rFonts w:cs="Arial"/>
                <w:sz w:val="22"/>
                <w:szCs w:val="22"/>
              </w:rPr>
              <w:t xml:space="preserve">Falling Weight Deflectometer </w:t>
            </w:r>
          </w:p>
        </w:tc>
      </w:tr>
      <w:tr w:rsidR="00B933CA" w14:paraId="67FDE555" w14:textId="77777777" w:rsidTr="00D12C93">
        <w:tc>
          <w:tcPr>
            <w:tcW w:w="1413" w:type="dxa"/>
            <w:vAlign w:val="center"/>
          </w:tcPr>
          <w:p w14:paraId="05DB56F0" w14:textId="77777777" w:rsidR="00D12C93" w:rsidRDefault="00E657F5" w:rsidP="00D12C93">
            <w:pPr>
              <w:pStyle w:val="BodyText"/>
              <w:spacing w:after="0"/>
              <w:rPr>
                <w:highlight w:val="lightGray"/>
                <w:lang w:eastAsia="en-GB"/>
              </w:rPr>
            </w:pPr>
            <w:r>
              <w:rPr>
                <w:rFonts w:cs="Arial"/>
                <w:sz w:val="22"/>
                <w:szCs w:val="22"/>
              </w:rPr>
              <w:t>HBM</w:t>
            </w:r>
          </w:p>
        </w:tc>
        <w:tc>
          <w:tcPr>
            <w:tcW w:w="7597" w:type="dxa"/>
            <w:vAlign w:val="center"/>
          </w:tcPr>
          <w:p w14:paraId="4AA2F0D5" w14:textId="77777777" w:rsidR="00D12C93" w:rsidRDefault="00E657F5" w:rsidP="00D12C93">
            <w:pPr>
              <w:pStyle w:val="BodyText"/>
              <w:spacing w:after="0"/>
              <w:rPr>
                <w:highlight w:val="lightGray"/>
                <w:lang w:eastAsia="en-GB"/>
              </w:rPr>
            </w:pPr>
            <w:r>
              <w:rPr>
                <w:rFonts w:cs="Arial"/>
                <w:sz w:val="22"/>
                <w:szCs w:val="22"/>
              </w:rPr>
              <w:t>Hydraulically Bound Mixture</w:t>
            </w:r>
          </w:p>
        </w:tc>
      </w:tr>
      <w:tr w:rsidR="00B933CA" w14:paraId="47AC5AB5" w14:textId="77777777" w:rsidTr="00D12C93">
        <w:tc>
          <w:tcPr>
            <w:tcW w:w="1413" w:type="dxa"/>
            <w:vAlign w:val="center"/>
          </w:tcPr>
          <w:p w14:paraId="1253D270" w14:textId="77777777" w:rsidR="00D12C93" w:rsidRDefault="00E657F5" w:rsidP="00D12C93">
            <w:pPr>
              <w:pStyle w:val="BodyText"/>
              <w:spacing w:after="0"/>
              <w:rPr>
                <w:highlight w:val="lightGray"/>
                <w:lang w:eastAsia="en-GB"/>
              </w:rPr>
            </w:pPr>
            <w:r>
              <w:rPr>
                <w:rFonts w:cs="Arial"/>
                <w:sz w:val="22"/>
                <w:szCs w:val="22"/>
              </w:rPr>
              <w:t>HRA</w:t>
            </w:r>
          </w:p>
        </w:tc>
        <w:tc>
          <w:tcPr>
            <w:tcW w:w="7597" w:type="dxa"/>
            <w:vAlign w:val="center"/>
          </w:tcPr>
          <w:p w14:paraId="34BCBD06" w14:textId="77777777" w:rsidR="00D12C93" w:rsidRDefault="00E657F5" w:rsidP="00D12C93">
            <w:pPr>
              <w:pStyle w:val="BodyText"/>
              <w:spacing w:after="0"/>
              <w:rPr>
                <w:highlight w:val="lightGray"/>
                <w:lang w:eastAsia="en-GB"/>
              </w:rPr>
            </w:pPr>
            <w:r>
              <w:rPr>
                <w:rFonts w:cs="Arial"/>
                <w:sz w:val="22"/>
                <w:szCs w:val="22"/>
              </w:rPr>
              <w:t>Hot Rolled Asphalt</w:t>
            </w:r>
          </w:p>
        </w:tc>
      </w:tr>
      <w:tr w:rsidR="00B933CA" w14:paraId="43C659F8" w14:textId="77777777" w:rsidTr="00D12C93">
        <w:tc>
          <w:tcPr>
            <w:tcW w:w="1413" w:type="dxa"/>
            <w:vAlign w:val="center"/>
          </w:tcPr>
          <w:p w14:paraId="3A20AF31" w14:textId="77777777" w:rsidR="00D12C93" w:rsidRDefault="00E657F5" w:rsidP="00D12C93">
            <w:pPr>
              <w:pStyle w:val="BodyText"/>
              <w:spacing w:after="0"/>
              <w:rPr>
                <w:highlight w:val="lightGray"/>
                <w:lang w:eastAsia="en-GB"/>
              </w:rPr>
            </w:pPr>
            <w:r>
              <w:rPr>
                <w:rFonts w:cs="Arial"/>
                <w:sz w:val="22"/>
                <w:szCs w:val="22"/>
              </w:rPr>
              <w:t>IDNO</w:t>
            </w:r>
          </w:p>
        </w:tc>
        <w:tc>
          <w:tcPr>
            <w:tcW w:w="7597" w:type="dxa"/>
            <w:vAlign w:val="center"/>
          </w:tcPr>
          <w:p w14:paraId="12EDB1B0" w14:textId="77777777" w:rsidR="00D12C93" w:rsidRDefault="00E657F5" w:rsidP="00D12C93">
            <w:pPr>
              <w:pStyle w:val="BodyText"/>
              <w:spacing w:after="0"/>
              <w:rPr>
                <w:highlight w:val="lightGray"/>
                <w:lang w:eastAsia="en-GB"/>
              </w:rPr>
            </w:pPr>
            <w:r>
              <w:rPr>
                <w:rFonts w:cs="Arial"/>
                <w:sz w:val="22"/>
                <w:szCs w:val="22"/>
              </w:rPr>
              <w:t xml:space="preserve">Independent Distribution Network Operator </w:t>
            </w:r>
          </w:p>
        </w:tc>
      </w:tr>
      <w:tr w:rsidR="00B933CA" w14:paraId="781AFC3B" w14:textId="77777777" w:rsidTr="00D12C93">
        <w:tc>
          <w:tcPr>
            <w:tcW w:w="1413" w:type="dxa"/>
            <w:vAlign w:val="center"/>
          </w:tcPr>
          <w:p w14:paraId="2B765F4E" w14:textId="77777777" w:rsidR="00D12C93" w:rsidRDefault="00E657F5" w:rsidP="00D12C93">
            <w:pPr>
              <w:pStyle w:val="BodyText"/>
              <w:spacing w:after="0"/>
              <w:rPr>
                <w:highlight w:val="lightGray"/>
                <w:lang w:eastAsia="en-GB"/>
              </w:rPr>
            </w:pPr>
            <w:r>
              <w:rPr>
                <w:rFonts w:cs="Arial"/>
                <w:sz w:val="22"/>
                <w:szCs w:val="22"/>
              </w:rPr>
              <w:t>IET</w:t>
            </w:r>
          </w:p>
        </w:tc>
        <w:tc>
          <w:tcPr>
            <w:tcW w:w="7597" w:type="dxa"/>
            <w:vAlign w:val="center"/>
          </w:tcPr>
          <w:p w14:paraId="7732EF80" w14:textId="77777777" w:rsidR="00D12C93" w:rsidRDefault="00E657F5" w:rsidP="00D12C93">
            <w:pPr>
              <w:pStyle w:val="BodyText"/>
              <w:spacing w:after="0"/>
              <w:rPr>
                <w:highlight w:val="lightGray"/>
                <w:lang w:eastAsia="en-GB"/>
              </w:rPr>
            </w:pPr>
            <w:r>
              <w:rPr>
                <w:rFonts w:cs="Arial"/>
                <w:color w:val="202122"/>
                <w:sz w:val="22"/>
                <w:szCs w:val="22"/>
              </w:rPr>
              <w:t>Institution of Engineering and Technology</w:t>
            </w:r>
          </w:p>
        </w:tc>
      </w:tr>
      <w:tr w:rsidR="00B933CA" w14:paraId="0B31B8F8" w14:textId="77777777" w:rsidTr="00D12C93">
        <w:tc>
          <w:tcPr>
            <w:tcW w:w="1413" w:type="dxa"/>
            <w:vAlign w:val="center"/>
          </w:tcPr>
          <w:p w14:paraId="3E4B51A7" w14:textId="77777777" w:rsidR="00D12C93" w:rsidRDefault="00E657F5" w:rsidP="00D12C93">
            <w:pPr>
              <w:pStyle w:val="BodyText"/>
              <w:spacing w:after="0"/>
              <w:rPr>
                <w:highlight w:val="lightGray"/>
                <w:lang w:eastAsia="en-GB"/>
              </w:rPr>
            </w:pPr>
            <w:r>
              <w:rPr>
                <w:rFonts w:cs="Arial"/>
                <w:sz w:val="22"/>
                <w:szCs w:val="22"/>
              </w:rPr>
              <w:t>ILP</w:t>
            </w:r>
          </w:p>
        </w:tc>
        <w:tc>
          <w:tcPr>
            <w:tcW w:w="7597" w:type="dxa"/>
            <w:vAlign w:val="center"/>
          </w:tcPr>
          <w:p w14:paraId="6A8854FF" w14:textId="77777777" w:rsidR="00D12C93" w:rsidRDefault="00E657F5" w:rsidP="00D12C93">
            <w:pPr>
              <w:pStyle w:val="BodyText"/>
              <w:spacing w:after="0"/>
              <w:rPr>
                <w:highlight w:val="lightGray"/>
                <w:lang w:eastAsia="en-GB"/>
              </w:rPr>
            </w:pPr>
            <w:r>
              <w:rPr>
                <w:rFonts w:cs="Arial"/>
                <w:sz w:val="22"/>
                <w:szCs w:val="22"/>
              </w:rPr>
              <w:t>Institution of Lighting Professionals</w:t>
            </w:r>
          </w:p>
        </w:tc>
      </w:tr>
      <w:tr w:rsidR="00B933CA" w14:paraId="28DF04BB" w14:textId="77777777" w:rsidTr="00D12C93">
        <w:tc>
          <w:tcPr>
            <w:tcW w:w="1413" w:type="dxa"/>
            <w:vAlign w:val="center"/>
          </w:tcPr>
          <w:p w14:paraId="0D91BF04" w14:textId="77777777" w:rsidR="00D12C93" w:rsidRDefault="00E657F5" w:rsidP="00D12C93">
            <w:pPr>
              <w:pStyle w:val="BodyText"/>
              <w:spacing w:after="0"/>
              <w:rPr>
                <w:highlight w:val="lightGray"/>
                <w:lang w:eastAsia="en-GB"/>
              </w:rPr>
            </w:pPr>
            <w:r>
              <w:rPr>
                <w:rFonts w:cs="Arial"/>
                <w:sz w:val="22"/>
                <w:szCs w:val="22"/>
              </w:rPr>
              <w:t>ISO</w:t>
            </w:r>
          </w:p>
        </w:tc>
        <w:tc>
          <w:tcPr>
            <w:tcW w:w="7597" w:type="dxa"/>
            <w:vAlign w:val="center"/>
          </w:tcPr>
          <w:p w14:paraId="2B59A36B" w14:textId="77777777" w:rsidR="00D12C93" w:rsidRDefault="00E657F5" w:rsidP="00D12C93">
            <w:pPr>
              <w:pStyle w:val="BodyText"/>
              <w:spacing w:after="0"/>
              <w:rPr>
                <w:highlight w:val="lightGray"/>
                <w:lang w:eastAsia="en-GB"/>
              </w:rPr>
            </w:pPr>
            <w:r>
              <w:rPr>
                <w:rFonts w:cs="Arial"/>
                <w:sz w:val="22"/>
                <w:szCs w:val="22"/>
              </w:rPr>
              <w:t>International Organization for Standardization</w:t>
            </w:r>
          </w:p>
        </w:tc>
      </w:tr>
      <w:tr w:rsidR="00B933CA" w14:paraId="0C293362" w14:textId="77777777" w:rsidTr="00D12C93">
        <w:tc>
          <w:tcPr>
            <w:tcW w:w="1413" w:type="dxa"/>
            <w:vAlign w:val="center"/>
          </w:tcPr>
          <w:p w14:paraId="0EC55101" w14:textId="77777777" w:rsidR="00D12C93" w:rsidRDefault="00E657F5" w:rsidP="00D12C93">
            <w:pPr>
              <w:pStyle w:val="BodyText"/>
              <w:spacing w:after="0"/>
              <w:rPr>
                <w:highlight w:val="lightGray"/>
                <w:lang w:eastAsia="en-GB"/>
              </w:rPr>
            </w:pPr>
            <w:r>
              <w:rPr>
                <w:rFonts w:cs="Arial"/>
                <w:sz w:val="22"/>
                <w:szCs w:val="22"/>
              </w:rPr>
              <w:t>LCC</w:t>
            </w:r>
          </w:p>
        </w:tc>
        <w:tc>
          <w:tcPr>
            <w:tcW w:w="7597" w:type="dxa"/>
            <w:vAlign w:val="center"/>
          </w:tcPr>
          <w:p w14:paraId="42C14963" w14:textId="77777777" w:rsidR="00D12C93" w:rsidRDefault="00E657F5" w:rsidP="00D12C93">
            <w:pPr>
              <w:pStyle w:val="BodyText"/>
              <w:spacing w:after="0"/>
              <w:rPr>
                <w:highlight w:val="lightGray"/>
                <w:lang w:eastAsia="en-GB"/>
              </w:rPr>
            </w:pPr>
            <w:r>
              <w:rPr>
                <w:rFonts w:cs="Arial"/>
                <w:sz w:val="22"/>
                <w:szCs w:val="22"/>
              </w:rPr>
              <w:t>Lancashire County Council</w:t>
            </w:r>
          </w:p>
        </w:tc>
      </w:tr>
      <w:tr w:rsidR="00B933CA" w14:paraId="335C3FC6" w14:textId="77777777" w:rsidTr="00D12C93">
        <w:tc>
          <w:tcPr>
            <w:tcW w:w="1413" w:type="dxa"/>
            <w:vAlign w:val="center"/>
          </w:tcPr>
          <w:p w14:paraId="23A4F6F8" w14:textId="77777777" w:rsidR="00D12C93" w:rsidRDefault="00E657F5" w:rsidP="00D12C93">
            <w:pPr>
              <w:pStyle w:val="BodyText"/>
              <w:spacing w:after="0"/>
              <w:rPr>
                <w:highlight w:val="lightGray"/>
                <w:lang w:eastAsia="en-GB"/>
              </w:rPr>
            </w:pPr>
            <w:r>
              <w:rPr>
                <w:rFonts w:cs="Arial"/>
                <w:sz w:val="22"/>
                <w:szCs w:val="22"/>
              </w:rPr>
              <w:t>LLFA</w:t>
            </w:r>
          </w:p>
        </w:tc>
        <w:tc>
          <w:tcPr>
            <w:tcW w:w="7597" w:type="dxa"/>
            <w:vAlign w:val="center"/>
          </w:tcPr>
          <w:p w14:paraId="0AA33CB2" w14:textId="77777777" w:rsidR="00D12C93" w:rsidRDefault="00E657F5" w:rsidP="00D12C93">
            <w:pPr>
              <w:pStyle w:val="BodyText"/>
              <w:spacing w:after="0"/>
              <w:rPr>
                <w:highlight w:val="lightGray"/>
                <w:lang w:eastAsia="en-GB"/>
              </w:rPr>
            </w:pPr>
            <w:r>
              <w:rPr>
                <w:rFonts w:cs="Arial"/>
                <w:sz w:val="22"/>
                <w:szCs w:val="22"/>
              </w:rPr>
              <w:t xml:space="preserve">Lead Local Flood Authority </w:t>
            </w:r>
          </w:p>
        </w:tc>
      </w:tr>
      <w:tr w:rsidR="00B933CA" w14:paraId="4B3C4D81" w14:textId="77777777" w:rsidTr="00D12C93">
        <w:tc>
          <w:tcPr>
            <w:tcW w:w="1413" w:type="dxa"/>
            <w:vAlign w:val="center"/>
          </w:tcPr>
          <w:p w14:paraId="750750DD" w14:textId="77777777" w:rsidR="00D12C93" w:rsidRDefault="00E657F5" w:rsidP="00D12C93">
            <w:pPr>
              <w:pStyle w:val="BodyText"/>
              <w:spacing w:after="0"/>
              <w:rPr>
                <w:highlight w:val="lightGray"/>
                <w:lang w:eastAsia="en-GB"/>
              </w:rPr>
            </w:pPr>
            <w:r>
              <w:rPr>
                <w:rFonts w:cs="Arial"/>
                <w:sz w:val="22"/>
                <w:szCs w:val="22"/>
              </w:rPr>
              <w:t>LRQA</w:t>
            </w:r>
          </w:p>
        </w:tc>
        <w:tc>
          <w:tcPr>
            <w:tcW w:w="7597" w:type="dxa"/>
            <w:vAlign w:val="center"/>
          </w:tcPr>
          <w:p w14:paraId="34B6287F" w14:textId="77777777" w:rsidR="00D12C93" w:rsidRDefault="00E657F5" w:rsidP="00D12C93">
            <w:pPr>
              <w:pStyle w:val="BodyText"/>
              <w:spacing w:after="0"/>
              <w:rPr>
                <w:highlight w:val="lightGray"/>
                <w:lang w:eastAsia="en-GB"/>
              </w:rPr>
            </w:pPr>
            <w:r>
              <w:rPr>
                <w:rFonts w:cs="Arial"/>
                <w:color w:val="202124"/>
                <w:sz w:val="22"/>
                <w:szCs w:val="22"/>
              </w:rPr>
              <w:t>Lloyd's Register Quality Assurance</w:t>
            </w:r>
          </w:p>
        </w:tc>
      </w:tr>
      <w:tr w:rsidR="00B933CA" w14:paraId="2CED906F" w14:textId="77777777" w:rsidTr="00D12C93">
        <w:tc>
          <w:tcPr>
            <w:tcW w:w="1413" w:type="dxa"/>
            <w:vAlign w:val="center"/>
          </w:tcPr>
          <w:p w14:paraId="63761EA2" w14:textId="77777777" w:rsidR="00D12C93" w:rsidRDefault="00E657F5" w:rsidP="00D12C93">
            <w:pPr>
              <w:pStyle w:val="BodyText"/>
              <w:spacing w:after="0"/>
              <w:rPr>
                <w:highlight w:val="lightGray"/>
                <w:lang w:eastAsia="en-GB"/>
              </w:rPr>
            </w:pPr>
            <w:r>
              <w:rPr>
                <w:rFonts w:cs="Arial"/>
                <w:sz w:val="22"/>
                <w:szCs w:val="22"/>
              </w:rPr>
              <w:t>LTN</w:t>
            </w:r>
          </w:p>
        </w:tc>
        <w:tc>
          <w:tcPr>
            <w:tcW w:w="7597" w:type="dxa"/>
            <w:vAlign w:val="center"/>
          </w:tcPr>
          <w:p w14:paraId="458225B6" w14:textId="77777777" w:rsidR="00D12C93" w:rsidRDefault="00E657F5" w:rsidP="00D12C93">
            <w:pPr>
              <w:pStyle w:val="BodyText"/>
              <w:spacing w:after="0"/>
              <w:rPr>
                <w:highlight w:val="lightGray"/>
                <w:lang w:eastAsia="en-GB"/>
              </w:rPr>
            </w:pPr>
            <w:r>
              <w:rPr>
                <w:rFonts w:cs="Arial"/>
                <w:sz w:val="22"/>
                <w:szCs w:val="22"/>
              </w:rPr>
              <w:t>Local Transport Note</w:t>
            </w:r>
          </w:p>
        </w:tc>
      </w:tr>
      <w:tr w:rsidR="00B933CA" w14:paraId="2EE946F8" w14:textId="77777777" w:rsidTr="00D12C93">
        <w:tc>
          <w:tcPr>
            <w:tcW w:w="1413" w:type="dxa"/>
            <w:vAlign w:val="center"/>
          </w:tcPr>
          <w:p w14:paraId="30CAB995" w14:textId="77777777" w:rsidR="00D12C93" w:rsidRDefault="00E657F5" w:rsidP="00D12C93">
            <w:pPr>
              <w:pStyle w:val="BodyText"/>
              <w:spacing w:after="0"/>
              <w:rPr>
                <w:highlight w:val="lightGray"/>
                <w:lang w:eastAsia="en-GB"/>
              </w:rPr>
            </w:pPr>
            <w:r>
              <w:rPr>
                <w:rFonts w:cs="Arial"/>
                <w:sz w:val="22"/>
                <w:szCs w:val="22"/>
              </w:rPr>
              <w:t>LWD</w:t>
            </w:r>
          </w:p>
        </w:tc>
        <w:tc>
          <w:tcPr>
            <w:tcW w:w="7597" w:type="dxa"/>
            <w:vAlign w:val="center"/>
          </w:tcPr>
          <w:p w14:paraId="6C3E5900" w14:textId="77777777" w:rsidR="00D12C93" w:rsidRDefault="00E657F5" w:rsidP="00D12C93">
            <w:pPr>
              <w:pStyle w:val="BodyText"/>
              <w:spacing w:after="0"/>
              <w:rPr>
                <w:highlight w:val="lightGray"/>
                <w:lang w:eastAsia="en-GB"/>
              </w:rPr>
            </w:pPr>
            <w:r>
              <w:rPr>
                <w:rFonts w:cs="Arial"/>
                <w:sz w:val="22"/>
                <w:szCs w:val="22"/>
              </w:rPr>
              <w:t>Lightweight Deflectometer</w:t>
            </w:r>
          </w:p>
        </w:tc>
      </w:tr>
      <w:tr w:rsidR="00B933CA" w14:paraId="30CB68FB" w14:textId="77777777" w:rsidTr="00D12C93">
        <w:tc>
          <w:tcPr>
            <w:tcW w:w="1413" w:type="dxa"/>
            <w:vAlign w:val="center"/>
          </w:tcPr>
          <w:p w14:paraId="46545636" w14:textId="77777777" w:rsidR="00D12C93" w:rsidRPr="00D12C93" w:rsidRDefault="00E657F5" w:rsidP="00D12C93">
            <w:pPr>
              <w:pStyle w:val="BodyText"/>
              <w:spacing w:after="0"/>
              <w:rPr>
                <w:rFonts w:cs="Arial"/>
                <w:sz w:val="22"/>
                <w:szCs w:val="22"/>
              </w:rPr>
            </w:pPr>
            <w:r w:rsidRPr="00D12C93">
              <w:rPr>
                <w:rFonts w:cs="Arial"/>
                <w:sz w:val="22"/>
                <w:szCs w:val="22"/>
              </w:rPr>
              <w:t>MCHW</w:t>
            </w:r>
          </w:p>
        </w:tc>
        <w:tc>
          <w:tcPr>
            <w:tcW w:w="7597" w:type="dxa"/>
            <w:vAlign w:val="center"/>
          </w:tcPr>
          <w:p w14:paraId="2C7C1F59" w14:textId="77777777" w:rsidR="00D12C93" w:rsidRPr="00D12C93" w:rsidRDefault="00E657F5" w:rsidP="00D12C93">
            <w:pPr>
              <w:pStyle w:val="BodyText"/>
              <w:spacing w:after="0"/>
              <w:rPr>
                <w:rFonts w:cs="Arial"/>
                <w:sz w:val="22"/>
                <w:szCs w:val="22"/>
              </w:rPr>
            </w:pPr>
            <w:r w:rsidRPr="00D12C93">
              <w:rPr>
                <w:rFonts w:cs="Arial"/>
                <w:sz w:val="22"/>
                <w:szCs w:val="22"/>
              </w:rPr>
              <w:t>Manual of Contract Documents for Highway Works</w:t>
            </w:r>
          </w:p>
        </w:tc>
      </w:tr>
      <w:tr w:rsidR="00B933CA" w14:paraId="78DA3FE1" w14:textId="77777777" w:rsidTr="00D12C93">
        <w:tc>
          <w:tcPr>
            <w:tcW w:w="1413" w:type="dxa"/>
            <w:vAlign w:val="center"/>
          </w:tcPr>
          <w:p w14:paraId="06874240" w14:textId="77777777" w:rsidR="00D12C93" w:rsidRDefault="00E657F5" w:rsidP="00D12C93">
            <w:pPr>
              <w:pStyle w:val="BodyText"/>
              <w:spacing w:after="0"/>
              <w:rPr>
                <w:highlight w:val="lightGray"/>
                <w:lang w:eastAsia="en-GB"/>
              </w:rPr>
            </w:pPr>
            <w:r>
              <w:rPr>
                <w:rFonts w:cs="Arial"/>
                <w:sz w:val="22"/>
                <w:szCs w:val="22"/>
              </w:rPr>
              <w:t>MPa</w:t>
            </w:r>
          </w:p>
        </w:tc>
        <w:tc>
          <w:tcPr>
            <w:tcW w:w="7597" w:type="dxa"/>
            <w:vAlign w:val="center"/>
          </w:tcPr>
          <w:p w14:paraId="0E05354B" w14:textId="77777777" w:rsidR="00D12C93" w:rsidRDefault="00E657F5" w:rsidP="00D12C93">
            <w:pPr>
              <w:pStyle w:val="BodyText"/>
              <w:spacing w:after="0"/>
              <w:rPr>
                <w:highlight w:val="lightGray"/>
                <w:lang w:eastAsia="en-GB"/>
              </w:rPr>
            </w:pPr>
            <w:r>
              <w:rPr>
                <w:rFonts w:cs="Arial"/>
                <w:sz w:val="22"/>
                <w:szCs w:val="22"/>
              </w:rPr>
              <w:t xml:space="preserve">Megapascals </w:t>
            </w:r>
          </w:p>
        </w:tc>
      </w:tr>
      <w:tr w:rsidR="00B933CA" w14:paraId="401DD268" w14:textId="77777777" w:rsidTr="00D12C93">
        <w:tc>
          <w:tcPr>
            <w:tcW w:w="1413" w:type="dxa"/>
            <w:vAlign w:val="center"/>
          </w:tcPr>
          <w:p w14:paraId="67D19F6F" w14:textId="77777777" w:rsidR="00D12C93" w:rsidRDefault="00E657F5" w:rsidP="00D12C93">
            <w:pPr>
              <w:pStyle w:val="BodyText"/>
              <w:spacing w:after="0"/>
              <w:rPr>
                <w:highlight w:val="lightGray"/>
                <w:lang w:eastAsia="en-GB"/>
              </w:rPr>
            </w:pPr>
            <w:r>
              <w:rPr>
                <w:rFonts w:cs="Arial"/>
                <w:sz w:val="22"/>
                <w:szCs w:val="22"/>
              </w:rPr>
              <w:t>msa</w:t>
            </w:r>
          </w:p>
        </w:tc>
        <w:tc>
          <w:tcPr>
            <w:tcW w:w="7597" w:type="dxa"/>
            <w:vAlign w:val="center"/>
          </w:tcPr>
          <w:p w14:paraId="6FDE5989" w14:textId="77777777" w:rsidR="00D12C93" w:rsidRDefault="00E657F5" w:rsidP="00D12C93">
            <w:pPr>
              <w:pStyle w:val="BodyText"/>
              <w:spacing w:after="0"/>
              <w:rPr>
                <w:highlight w:val="lightGray"/>
                <w:lang w:eastAsia="en-GB"/>
              </w:rPr>
            </w:pPr>
            <w:r>
              <w:rPr>
                <w:rFonts w:cs="Arial"/>
                <w:sz w:val="22"/>
                <w:szCs w:val="22"/>
              </w:rPr>
              <w:t>Million Standard Axles</w:t>
            </w:r>
          </w:p>
        </w:tc>
      </w:tr>
      <w:tr w:rsidR="00B933CA" w14:paraId="4424BBA8" w14:textId="77777777" w:rsidTr="00D12C93">
        <w:tc>
          <w:tcPr>
            <w:tcW w:w="1413" w:type="dxa"/>
            <w:vAlign w:val="center"/>
          </w:tcPr>
          <w:p w14:paraId="531DC083" w14:textId="77777777" w:rsidR="00D12C93" w:rsidRDefault="00E657F5" w:rsidP="00D12C93">
            <w:pPr>
              <w:pStyle w:val="BodyText"/>
              <w:spacing w:after="0"/>
              <w:rPr>
                <w:highlight w:val="lightGray"/>
                <w:lang w:eastAsia="en-GB"/>
              </w:rPr>
            </w:pPr>
            <w:r>
              <w:rPr>
                <w:rFonts w:cs="Arial"/>
                <w:sz w:val="22"/>
                <w:szCs w:val="22"/>
              </w:rPr>
              <w:t>PD</w:t>
            </w:r>
          </w:p>
        </w:tc>
        <w:tc>
          <w:tcPr>
            <w:tcW w:w="7597" w:type="dxa"/>
            <w:vAlign w:val="center"/>
          </w:tcPr>
          <w:p w14:paraId="376F4E89" w14:textId="77777777" w:rsidR="00D12C93" w:rsidRDefault="00E657F5" w:rsidP="00D12C93">
            <w:pPr>
              <w:pStyle w:val="BodyText"/>
              <w:spacing w:after="0"/>
              <w:rPr>
                <w:highlight w:val="lightGray"/>
                <w:lang w:eastAsia="en-GB"/>
              </w:rPr>
            </w:pPr>
            <w:r>
              <w:rPr>
                <w:rFonts w:cs="Arial"/>
                <w:sz w:val="22"/>
                <w:szCs w:val="22"/>
              </w:rPr>
              <w:t>Published Document (normally a guidance document published by the British Standards Institute)</w:t>
            </w:r>
          </w:p>
        </w:tc>
      </w:tr>
      <w:tr w:rsidR="00B933CA" w14:paraId="32039C99" w14:textId="77777777" w:rsidTr="00D12C93">
        <w:tc>
          <w:tcPr>
            <w:tcW w:w="1413" w:type="dxa"/>
            <w:vAlign w:val="center"/>
          </w:tcPr>
          <w:p w14:paraId="503FE65C" w14:textId="77777777" w:rsidR="00D12C93" w:rsidRDefault="00E657F5" w:rsidP="00D12C93">
            <w:pPr>
              <w:pStyle w:val="BodyText"/>
              <w:spacing w:after="0"/>
              <w:rPr>
                <w:highlight w:val="lightGray"/>
                <w:lang w:eastAsia="en-GB"/>
              </w:rPr>
            </w:pPr>
            <w:r>
              <w:rPr>
                <w:rFonts w:cs="Arial"/>
                <w:sz w:val="22"/>
                <w:szCs w:val="22"/>
              </w:rPr>
              <w:t>PPV</w:t>
            </w:r>
          </w:p>
        </w:tc>
        <w:tc>
          <w:tcPr>
            <w:tcW w:w="7597" w:type="dxa"/>
            <w:vAlign w:val="center"/>
          </w:tcPr>
          <w:p w14:paraId="3E753874" w14:textId="77777777" w:rsidR="00D12C93" w:rsidRDefault="00E657F5" w:rsidP="00D12C93">
            <w:pPr>
              <w:pStyle w:val="BodyText"/>
              <w:spacing w:after="0"/>
              <w:rPr>
                <w:highlight w:val="lightGray"/>
                <w:lang w:eastAsia="en-GB"/>
              </w:rPr>
            </w:pPr>
            <w:r>
              <w:rPr>
                <w:rFonts w:cs="Arial"/>
                <w:sz w:val="22"/>
                <w:szCs w:val="22"/>
              </w:rPr>
              <w:t>Polished Paver Value</w:t>
            </w:r>
          </w:p>
        </w:tc>
      </w:tr>
      <w:tr w:rsidR="00B933CA" w14:paraId="53043ED2" w14:textId="77777777" w:rsidTr="00D12C93">
        <w:tc>
          <w:tcPr>
            <w:tcW w:w="1413" w:type="dxa"/>
            <w:vAlign w:val="center"/>
          </w:tcPr>
          <w:p w14:paraId="4F9B66FB" w14:textId="77777777" w:rsidR="00D12C93" w:rsidRDefault="00E657F5" w:rsidP="00D12C93">
            <w:pPr>
              <w:pStyle w:val="BodyText"/>
              <w:spacing w:after="0"/>
              <w:rPr>
                <w:highlight w:val="lightGray"/>
                <w:lang w:eastAsia="en-GB"/>
              </w:rPr>
            </w:pPr>
            <w:r>
              <w:rPr>
                <w:rFonts w:cs="Arial"/>
                <w:sz w:val="22"/>
                <w:szCs w:val="22"/>
              </w:rPr>
              <w:t>PSV</w:t>
            </w:r>
          </w:p>
        </w:tc>
        <w:tc>
          <w:tcPr>
            <w:tcW w:w="7597" w:type="dxa"/>
            <w:vAlign w:val="center"/>
          </w:tcPr>
          <w:p w14:paraId="17CA9D61" w14:textId="77777777" w:rsidR="00D12C93" w:rsidRDefault="00E657F5" w:rsidP="00D12C93">
            <w:pPr>
              <w:pStyle w:val="BodyText"/>
              <w:spacing w:after="0"/>
              <w:rPr>
                <w:highlight w:val="lightGray"/>
                <w:lang w:eastAsia="en-GB"/>
              </w:rPr>
            </w:pPr>
            <w:r>
              <w:rPr>
                <w:rFonts w:cs="Arial"/>
                <w:sz w:val="22"/>
                <w:szCs w:val="22"/>
              </w:rPr>
              <w:t>Polished Stone Value</w:t>
            </w:r>
          </w:p>
        </w:tc>
      </w:tr>
      <w:tr w:rsidR="00B933CA" w14:paraId="2621BD86" w14:textId="77777777" w:rsidTr="00D12C93">
        <w:tc>
          <w:tcPr>
            <w:tcW w:w="1413" w:type="dxa"/>
            <w:vAlign w:val="center"/>
          </w:tcPr>
          <w:p w14:paraId="64EADB0C" w14:textId="77777777" w:rsidR="00D12C93" w:rsidRDefault="00E657F5" w:rsidP="00D12C93">
            <w:pPr>
              <w:pStyle w:val="BodyText"/>
              <w:spacing w:after="0"/>
              <w:rPr>
                <w:highlight w:val="lightGray"/>
                <w:lang w:eastAsia="en-GB"/>
              </w:rPr>
            </w:pPr>
            <w:r>
              <w:rPr>
                <w:rFonts w:cs="Arial"/>
                <w:sz w:val="22"/>
                <w:szCs w:val="22"/>
              </w:rPr>
              <w:t>PTR</w:t>
            </w:r>
          </w:p>
        </w:tc>
        <w:tc>
          <w:tcPr>
            <w:tcW w:w="7597" w:type="dxa"/>
            <w:vAlign w:val="center"/>
          </w:tcPr>
          <w:p w14:paraId="20E2569E" w14:textId="77777777" w:rsidR="00D12C93" w:rsidRDefault="00E657F5" w:rsidP="00D12C93">
            <w:pPr>
              <w:pStyle w:val="BodyText"/>
              <w:spacing w:after="0"/>
              <w:rPr>
                <w:highlight w:val="lightGray"/>
                <w:lang w:eastAsia="en-GB"/>
              </w:rPr>
            </w:pPr>
            <w:r>
              <w:rPr>
                <w:rFonts w:cs="Arial"/>
                <w:sz w:val="22"/>
                <w:szCs w:val="22"/>
              </w:rPr>
              <w:t>Pneumatic Tyred Roller</w:t>
            </w:r>
          </w:p>
        </w:tc>
      </w:tr>
      <w:tr w:rsidR="00B933CA" w14:paraId="1080790F" w14:textId="77777777" w:rsidTr="00D12C93">
        <w:tc>
          <w:tcPr>
            <w:tcW w:w="1413" w:type="dxa"/>
            <w:vAlign w:val="center"/>
          </w:tcPr>
          <w:p w14:paraId="77707426" w14:textId="77777777" w:rsidR="00D12C93" w:rsidRDefault="00E657F5" w:rsidP="00D12C93">
            <w:pPr>
              <w:pStyle w:val="BodyText"/>
              <w:spacing w:after="0"/>
              <w:rPr>
                <w:highlight w:val="lightGray"/>
                <w:lang w:eastAsia="en-GB"/>
              </w:rPr>
            </w:pPr>
            <w:r>
              <w:rPr>
                <w:rFonts w:cs="Arial"/>
                <w:sz w:val="22"/>
                <w:szCs w:val="22"/>
              </w:rPr>
              <w:t>sa</w:t>
            </w:r>
          </w:p>
        </w:tc>
        <w:tc>
          <w:tcPr>
            <w:tcW w:w="7597" w:type="dxa"/>
            <w:vAlign w:val="center"/>
          </w:tcPr>
          <w:p w14:paraId="3024D808" w14:textId="77777777" w:rsidR="00D12C93" w:rsidRDefault="00E657F5" w:rsidP="00D12C93">
            <w:pPr>
              <w:pStyle w:val="BodyText"/>
              <w:spacing w:after="0"/>
              <w:rPr>
                <w:highlight w:val="lightGray"/>
                <w:lang w:eastAsia="en-GB"/>
              </w:rPr>
            </w:pPr>
            <w:r>
              <w:rPr>
                <w:rFonts w:cs="Arial"/>
                <w:sz w:val="22"/>
                <w:szCs w:val="22"/>
              </w:rPr>
              <w:t>standard axles</w:t>
            </w:r>
          </w:p>
        </w:tc>
      </w:tr>
      <w:tr w:rsidR="00B933CA" w14:paraId="6B512BB2" w14:textId="77777777" w:rsidTr="00D12C93">
        <w:tc>
          <w:tcPr>
            <w:tcW w:w="1413" w:type="dxa"/>
            <w:vAlign w:val="center"/>
          </w:tcPr>
          <w:p w14:paraId="2BB0F93C" w14:textId="77777777" w:rsidR="00D12C93" w:rsidRDefault="00E657F5" w:rsidP="00D12C93">
            <w:pPr>
              <w:pStyle w:val="BodyText"/>
              <w:spacing w:after="0"/>
              <w:rPr>
                <w:highlight w:val="lightGray"/>
                <w:lang w:eastAsia="en-GB"/>
              </w:rPr>
            </w:pPr>
            <w:r>
              <w:rPr>
                <w:rFonts w:cs="Arial"/>
                <w:sz w:val="22"/>
                <w:szCs w:val="22"/>
              </w:rPr>
              <w:t>SMA</w:t>
            </w:r>
          </w:p>
        </w:tc>
        <w:tc>
          <w:tcPr>
            <w:tcW w:w="7597" w:type="dxa"/>
            <w:vAlign w:val="center"/>
          </w:tcPr>
          <w:p w14:paraId="3F5642E5" w14:textId="77777777" w:rsidR="00D12C93" w:rsidRDefault="00E657F5" w:rsidP="00D12C93">
            <w:pPr>
              <w:pStyle w:val="BodyText"/>
              <w:spacing w:after="0"/>
              <w:rPr>
                <w:highlight w:val="lightGray"/>
                <w:lang w:eastAsia="en-GB"/>
              </w:rPr>
            </w:pPr>
            <w:r>
              <w:rPr>
                <w:rFonts w:cs="Arial"/>
                <w:sz w:val="22"/>
                <w:szCs w:val="22"/>
              </w:rPr>
              <w:t>Stone Mastic Asphalt</w:t>
            </w:r>
          </w:p>
        </w:tc>
      </w:tr>
      <w:tr w:rsidR="00B933CA" w14:paraId="5ED3F6AC" w14:textId="77777777" w:rsidTr="00D12C93">
        <w:tc>
          <w:tcPr>
            <w:tcW w:w="1413" w:type="dxa"/>
            <w:vAlign w:val="center"/>
          </w:tcPr>
          <w:p w14:paraId="24064A12" w14:textId="77777777" w:rsidR="00D12C93" w:rsidRDefault="00E657F5" w:rsidP="00D12C93">
            <w:pPr>
              <w:pStyle w:val="BodyText"/>
              <w:spacing w:after="0"/>
              <w:rPr>
                <w:highlight w:val="lightGray"/>
                <w:lang w:eastAsia="en-GB"/>
              </w:rPr>
            </w:pPr>
            <w:r>
              <w:rPr>
                <w:rFonts w:cs="Arial"/>
                <w:sz w:val="22"/>
                <w:szCs w:val="22"/>
              </w:rPr>
              <w:t>SROH</w:t>
            </w:r>
          </w:p>
        </w:tc>
        <w:tc>
          <w:tcPr>
            <w:tcW w:w="7597" w:type="dxa"/>
            <w:vAlign w:val="center"/>
          </w:tcPr>
          <w:p w14:paraId="20545880" w14:textId="77777777" w:rsidR="00D12C93" w:rsidRDefault="00E657F5" w:rsidP="00D12C93">
            <w:pPr>
              <w:pStyle w:val="BodyText"/>
              <w:spacing w:after="0"/>
              <w:rPr>
                <w:highlight w:val="lightGray"/>
                <w:lang w:eastAsia="en-GB"/>
              </w:rPr>
            </w:pPr>
            <w:r>
              <w:rPr>
                <w:rFonts w:cs="Arial"/>
                <w:sz w:val="22"/>
                <w:szCs w:val="22"/>
              </w:rPr>
              <w:t xml:space="preserve">Specification for the Reinstatement of Openings in Highways </w:t>
            </w:r>
          </w:p>
        </w:tc>
      </w:tr>
      <w:tr w:rsidR="00B933CA" w14:paraId="02D5CB26" w14:textId="77777777" w:rsidTr="00D12C93">
        <w:tc>
          <w:tcPr>
            <w:tcW w:w="1413" w:type="dxa"/>
            <w:vAlign w:val="center"/>
          </w:tcPr>
          <w:p w14:paraId="04AB0BF7" w14:textId="77777777" w:rsidR="00D12C93" w:rsidRDefault="00E657F5" w:rsidP="00D12C93">
            <w:pPr>
              <w:pStyle w:val="BodyText"/>
              <w:spacing w:after="0"/>
              <w:rPr>
                <w:highlight w:val="lightGray"/>
                <w:lang w:eastAsia="en-GB"/>
              </w:rPr>
            </w:pPr>
            <w:r>
              <w:rPr>
                <w:rFonts w:cs="Arial"/>
                <w:sz w:val="22"/>
                <w:szCs w:val="22"/>
              </w:rPr>
              <w:t>ST</w:t>
            </w:r>
          </w:p>
        </w:tc>
        <w:tc>
          <w:tcPr>
            <w:tcW w:w="7597" w:type="dxa"/>
            <w:vAlign w:val="center"/>
          </w:tcPr>
          <w:p w14:paraId="30F6B04A" w14:textId="77777777" w:rsidR="00D12C93" w:rsidRDefault="00E657F5" w:rsidP="00D12C93">
            <w:pPr>
              <w:pStyle w:val="BodyText"/>
              <w:spacing w:after="0"/>
              <w:rPr>
                <w:highlight w:val="lightGray"/>
                <w:lang w:eastAsia="en-GB"/>
              </w:rPr>
            </w:pPr>
            <w:r>
              <w:rPr>
                <w:rFonts w:cs="Arial"/>
                <w:sz w:val="22"/>
                <w:szCs w:val="22"/>
              </w:rPr>
              <w:t>Standardised Prescribed Concrete</w:t>
            </w:r>
          </w:p>
        </w:tc>
      </w:tr>
      <w:tr w:rsidR="00B933CA" w14:paraId="2A8C03D2" w14:textId="77777777" w:rsidTr="00D12C93">
        <w:tc>
          <w:tcPr>
            <w:tcW w:w="1413" w:type="dxa"/>
            <w:vAlign w:val="center"/>
          </w:tcPr>
          <w:p w14:paraId="5EDF1020" w14:textId="77777777" w:rsidR="00D12C93" w:rsidRDefault="00E657F5" w:rsidP="00D12C93">
            <w:pPr>
              <w:pStyle w:val="BodyText"/>
              <w:spacing w:after="0"/>
              <w:rPr>
                <w:highlight w:val="lightGray"/>
                <w:lang w:eastAsia="en-GB"/>
              </w:rPr>
            </w:pPr>
            <w:r>
              <w:rPr>
                <w:rFonts w:cs="Arial"/>
                <w:sz w:val="22"/>
                <w:szCs w:val="22"/>
              </w:rPr>
              <w:t>TRL</w:t>
            </w:r>
          </w:p>
        </w:tc>
        <w:tc>
          <w:tcPr>
            <w:tcW w:w="7597" w:type="dxa"/>
            <w:vAlign w:val="center"/>
          </w:tcPr>
          <w:p w14:paraId="2E7A729F" w14:textId="77777777" w:rsidR="00D12C93" w:rsidRDefault="00E657F5" w:rsidP="00D12C93">
            <w:pPr>
              <w:pStyle w:val="BodyText"/>
              <w:spacing w:after="0"/>
              <w:rPr>
                <w:highlight w:val="lightGray"/>
                <w:lang w:eastAsia="en-GB"/>
              </w:rPr>
            </w:pPr>
            <w:r>
              <w:rPr>
                <w:rFonts w:cs="Arial"/>
                <w:sz w:val="22"/>
                <w:szCs w:val="22"/>
              </w:rPr>
              <w:t>Transport Research Laboratory</w:t>
            </w:r>
          </w:p>
        </w:tc>
      </w:tr>
      <w:tr w:rsidR="00B933CA" w14:paraId="62954C13" w14:textId="77777777" w:rsidTr="00D12C93">
        <w:tc>
          <w:tcPr>
            <w:tcW w:w="1413" w:type="dxa"/>
            <w:vAlign w:val="center"/>
          </w:tcPr>
          <w:p w14:paraId="587B62C2" w14:textId="77777777" w:rsidR="00D12C93" w:rsidRDefault="00E657F5" w:rsidP="00D12C93">
            <w:pPr>
              <w:pStyle w:val="BodyText"/>
              <w:spacing w:after="0"/>
              <w:rPr>
                <w:highlight w:val="lightGray"/>
                <w:lang w:eastAsia="en-GB"/>
              </w:rPr>
            </w:pPr>
            <w:r>
              <w:rPr>
                <w:rFonts w:cs="Arial"/>
                <w:sz w:val="22"/>
                <w:szCs w:val="22"/>
              </w:rPr>
              <w:t>UKCA</w:t>
            </w:r>
          </w:p>
        </w:tc>
        <w:tc>
          <w:tcPr>
            <w:tcW w:w="7597" w:type="dxa"/>
            <w:vAlign w:val="center"/>
          </w:tcPr>
          <w:p w14:paraId="108893A8" w14:textId="77777777" w:rsidR="00D12C93" w:rsidRDefault="00E657F5" w:rsidP="00D12C93">
            <w:pPr>
              <w:pStyle w:val="BodyText"/>
              <w:spacing w:after="0"/>
              <w:rPr>
                <w:highlight w:val="lightGray"/>
                <w:lang w:eastAsia="en-GB"/>
              </w:rPr>
            </w:pPr>
            <w:r>
              <w:rPr>
                <w:rFonts w:cs="Arial"/>
                <w:sz w:val="22"/>
                <w:szCs w:val="22"/>
              </w:rPr>
              <w:t>United Kingdom Conformity Assessed</w:t>
            </w:r>
          </w:p>
        </w:tc>
      </w:tr>
    </w:tbl>
    <w:p w14:paraId="14947003" w14:textId="77777777" w:rsidR="005518EB" w:rsidRPr="005518EB" w:rsidRDefault="005518EB" w:rsidP="005518EB">
      <w:pPr>
        <w:pStyle w:val="BodyText"/>
        <w:rPr>
          <w:highlight w:val="lightGray"/>
          <w:lang w:eastAsia="en-GB"/>
        </w:rPr>
      </w:pPr>
    </w:p>
    <w:p w14:paraId="1D99E747" w14:textId="77777777" w:rsidR="00AC4F3F" w:rsidRDefault="00E657F5" w:rsidP="001600FA">
      <w:pPr>
        <w:pStyle w:val="Heading1"/>
      </w:pPr>
      <w:bookmarkStart w:id="2" w:name="_Toc123738090"/>
      <w:r>
        <w:t>General</w:t>
      </w:r>
      <w:bookmarkEnd w:id="2"/>
    </w:p>
    <w:p w14:paraId="344A4D82" w14:textId="77777777" w:rsidR="00CB3436" w:rsidRDefault="00E657F5" w:rsidP="00CB3436">
      <w:pPr>
        <w:pStyle w:val="Heading2"/>
      </w:pPr>
      <w:r>
        <w:t>Specification</w:t>
      </w:r>
    </w:p>
    <w:p w14:paraId="218C4F57" w14:textId="77777777" w:rsidR="00CB3436" w:rsidRPr="00CB3436" w:rsidRDefault="00E657F5" w:rsidP="00CB3436">
      <w:pPr>
        <w:pStyle w:val="BodyText"/>
      </w:pPr>
      <w:r w:rsidRPr="00F65ADE">
        <w:t>Th</w:t>
      </w:r>
      <w:r w:rsidR="00DA38DF">
        <w:t>is</w:t>
      </w:r>
      <w:r w:rsidRPr="00F65ADE">
        <w:t xml:space="preserve"> Specification</w:t>
      </w:r>
      <w:r w:rsidR="00DA38DF">
        <w:t xml:space="preserve"> (Specification) </w:t>
      </w:r>
      <w:r w:rsidRPr="00F65ADE">
        <w:t xml:space="preserve">is based on extracts from the </w:t>
      </w:r>
      <w:r w:rsidR="00433B3E">
        <w:t xml:space="preserve">National </w:t>
      </w:r>
      <w:r w:rsidR="008E40F6">
        <w:t>Highways Specification</w:t>
      </w:r>
      <w:r w:rsidRPr="00F65ADE">
        <w:t xml:space="preserve"> for Highway Works and the Code of Practice for Highway Maintenance Management, together with additional Lancashire County Council</w:t>
      </w:r>
      <w:r w:rsidR="00CA71F8">
        <w:t xml:space="preserve"> (LCC)</w:t>
      </w:r>
      <w:r w:rsidRPr="00F65ADE">
        <w:t xml:space="preserve"> requirements.  Reference may have to be made to British and European Standards for complete descriptions of the work and materials.  Where a development includes any new, or existing highway structures as defined in Clause </w:t>
      </w:r>
      <w:r w:rsidR="00966E07">
        <w:t>2.9</w:t>
      </w:r>
      <w:r w:rsidR="00FB485F">
        <w:t xml:space="preserve"> </w:t>
      </w:r>
      <w:r w:rsidRPr="00F65ADE">
        <w:t xml:space="preserve">then the Developer shall obtain from the </w:t>
      </w:r>
      <w:r w:rsidR="00966E07">
        <w:t xml:space="preserve">Director of Highways and Transport </w:t>
      </w:r>
      <w:r w:rsidRPr="00F65ADE">
        <w:t xml:space="preserve">the current requirements for such structures which include not only the Specification, but procedures for obtaining the approval of the </w:t>
      </w:r>
      <w:r w:rsidR="00966E07">
        <w:t>Director of Highways and Transport</w:t>
      </w:r>
      <w:r w:rsidR="00966E07" w:rsidRPr="00F65ADE">
        <w:t xml:space="preserve"> </w:t>
      </w:r>
      <w:r w:rsidRPr="00F65ADE">
        <w:t>to the Developer's proposals.</w:t>
      </w:r>
    </w:p>
    <w:p w14:paraId="1ECC91A7" w14:textId="77777777" w:rsidR="00D95247" w:rsidRDefault="00E657F5" w:rsidP="00D95247">
      <w:pPr>
        <w:pStyle w:val="Heading2"/>
      </w:pPr>
      <w:r>
        <w:t>Nomenclature</w:t>
      </w:r>
    </w:p>
    <w:p w14:paraId="28FC6D5D" w14:textId="77777777" w:rsidR="0063552F" w:rsidRDefault="00E657F5" w:rsidP="00CB2489">
      <w:pPr>
        <w:pStyle w:val="BodyText"/>
      </w:pPr>
      <w:r w:rsidRPr="00D042AE">
        <w:t>The nomenclature on this Specification is that contained in the Glossary of Building and Civil Engineering terms BS</w:t>
      </w:r>
      <w:r w:rsidR="00E254DE">
        <w:t xml:space="preserve"> </w:t>
      </w:r>
      <w:r w:rsidRPr="00D042AE">
        <w:t>6100; sub</w:t>
      </w:r>
      <w:r w:rsidRPr="00D042AE">
        <w:noBreakHyphen/>
        <w:t>section Highway Engineering.  The term 'The Engineer' means the</w:t>
      </w:r>
      <w:r w:rsidR="004239C3">
        <w:t xml:space="preserve"> relevant Person or Persons working on behalf of the </w:t>
      </w:r>
      <w:r w:rsidR="00966E07">
        <w:t>Director of Highways and Transport</w:t>
      </w:r>
      <w:r w:rsidR="00CB2489">
        <w:t>.</w:t>
      </w:r>
      <w:r w:rsidR="004E0674">
        <w:t xml:space="preserve"> Types of highway </w:t>
      </w:r>
      <w:r w:rsidR="00AD1284">
        <w:t xml:space="preserve">and parts of highway </w:t>
      </w:r>
      <w:r w:rsidR="004E0674">
        <w:t>are as defined in Highways Act 1980.</w:t>
      </w:r>
      <w:r w:rsidR="00D014B3">
        <w:t xml:space="preserve"> </w:t>
      </w:r>
      <w:r w:rsidR="001A613D">
        <w:t xml:space="preserve">Estate road </w:t>
      </w:r>
      <w:r w:rsidR="00964402">
        <w:t xml:space="preserve">carriageway </w:t>
      </w:r>
      <w:r w:rsidR="00414CFA">
        <w:t>descriptions</w:t>
      </w:r>
      <w:r w:rsidR="00F827A6">
        <w:t xml:space="preserve"> for the purpose of </w:t>
      </w:r>
      <w:r w:rsidR="00584AA7">
        <w:t xml:space="preserve">carriageway </w:t>
      </w:r>
      <w:r w:rsidR="00F827A6">
        <w:t>pavement design</w:t>
      </w:r>
      <w:r w:rsidR="00AD1284">
        <w:t xml:space="preserve"> </w:t>
      </w:r>
      <w:r w:rsidR="00584AA7">
        <w:t>are indicative and relate to the anticipated traffic levels</w:t>
      </w:r>
      <w:r w:rsidR="008F5D0B">
        <w:t xml:space="preserve"> as indicated in the relevant tables within section 5</w:t>
      </w:r>
    </w:p>
    <w:p w14:paraId="76FC5D60" w14:textId="77777777" w:rsidR="007F4291" w:rsidRDefault="00E657F5" w:rsidP="009741A1">
      <w:pPr>
        <w:pStyle w:val="Heading2"/>
      </w:pPr>
      <w:r>
        <w:t>Quality Assurance and Standards</w:t>
      </w:r>
    </w:p>
    <w:p w14:paraId="4A972ED9" w14:textId="77777777" w:rsidR="00B93B4F" w:rsidRPr="00B93B4F" w:rsidRDefault="00E657F5" w:rsidP="00B93B4F">
      <w:pPr>
        <w:pStyle w:val="BodyText"/>
      </w:pPr>
      <w:r w:rsidRPr="00B93B4F">
        <w:t xml:space="preserve">Unless otherwise specified all materials shall comply with the current edition of the appropriate British or </w:t>
      </w:r>
      <w:r w:rsidR="00DE20E1">
        <w:t xml:space="preserve">Designated </w:t>
      </w:r>
      <w:r w:rsidRPr="00B93B4F">
        <w:t xml:space="preserve">European Standard and shall be transported, </w:t>
      </w:r>
      <w:r w:rsidR="00AA50C0" w:rsidRPr="00B93B4F">
        <w:t>stored,</w:t>
      </w:r>
      <w:r w:rsidRPr="00B93B4F">
        <w:t xml:space="preserve"> and incorporated in the works in accordance with the requirements or recommendations of that Standard.  Any tests on materials and workmanship which are carried out will be conducted in accordance with the British or </w:t>
      </w:r>
      <w:r w:rsidR="00DE20E1">
        <w:t xml:space="preserve">Designated </w:t>
      </w:r>
      <w:r w:rsidRPr="00B93B4F">
        <w:t xml:space="preserve">European Standard.  </w:t>
      </w:r>
    </w:p>
    <w:p w14:paraId="24ED2828" w14:textId="77777777" w:rsidR="00B93B4F" w:rsidRPr="00B93B4F" w:rsidRDefault="00E657F5" w:rsidP="00B93B4F">
      <w:pPr>
        <w:pStyle w:val="BodyText"/>
      </w:pPr>
      <w:r w:rsidRPr="00B93B4F">
        <w:t>Where work or materials required are covered by a Quality Assurance Scheme only work or materials provided through such a scheme shall be used.</w:t>
      </w:r>
    </w:p>
    <w:p w14:paraId="392A3A88" w14:textId="77777777" w:rsidR="00B93B4F" w:rsidRPr="00B93B4F" w:rsidRDefault="00E657F5" w:rsidP="00B93B4F">
      <w:pPr>
        <w:pStyle w:val="BodyText"/>
      </w:pPr>
      <w:r w:rsidRPr="00B93B4F">
        <w:t xml:space="preserve">The requirement for any goods or materials to be manufactured or supplied subject to a quality management scheme or product certification scheme shall be satisfied by compliance with United Kingdom Construction Product Regulations, as per Statutory Instrument No. 465 The Construction products (Amendment etc.) (Exit) Regulations 2019. For products covered by a UK Designated standard (formerly a European harmonised standard) then a Declaration of Performance and a UK Conformity Assessment (UKCA) marking is required. </w:t>
      </w:r>
    </w:p>
    <w:p w14:paraId="24144F7F" w14:textId="77777777" w:rsidR="00CB3436" w:rsidRDefault="00E657F5" w:rsidP="00B93B4F">
      <w:pPr>
        <w:pStyle w:val="BodyText"/>
      </w:pPr>
      <w:r w:rsidRPr="00B93B4F">
        <w:t xml:space="preserve">Construction products tested and passing a conformity assessment to EU Construction Products Regulation 305/2011 and those covered by a European harmonised standard and carrying a CE mark will be accepted until </w:t>
      </w:r>
      <w:r w:rsidR="00E92084">
        <w:t>31</w:t>
      </w:r>
      <w:r w:rsidR="00E92084" w:rsidRPr="00CB2489">
        <w:rPr>
          <w:vertAlign w:val="superscript"/>
        </w:rPr>
        <w:t>st</w:t>
      </w:r>
      <w:r w:rsidR="00E92084">
        <w:t xml:space="preserve"> December 2024</w:t>
      </w:r>
      <w:r w:rsidR="004C7CAB">
        <w:t>.</w:t>
      </w:r>
    </w:p>
    <w:p w14:paraId="3A3A77AE" w14:textId="77777777" w:rsidR="00B50E80" w:rsidRDefault="00E657F5" w:rsidP="00B50E80">
      <w:pPr>
        <w:pStyle w:val="Heading2"/>
      </w:pPr>
      <w:r>
        <w:t>Adoption</w:t>
      </w:r>
    </w:p>
    <w:p w14:paraId="700E1F0E" w14:textId="77777777" w:rsidR="00EC35A5" w:rsidRDefault="00E657F5" w:rsidP="00EC35A5">
      <w:pPr>
        <w:pStyle w:val="BodyText"/>
      </w:pPr>
      <w:r w:rsidRPr="00EC35A5">
        <w:t xml:space="preserve">This Specification shall apply to any carriageway, footway, margin, verge, paved area, highway structure, highway drainage system, or highway equipment and street lighting system being constructed or installed as part of a development and which it is desired to adopt </w:t>
      </w:r>
      <w:r w:rsidR="00E15B1C">
        <w:t xml:space="preserve">as </w:t>
      </w:r>
      <w:r w:rsidR="004E0674">
        <w:t xml:space="preserve">or as part of vehicular </w:t>
      </w:r>
      <w:r w:rsidR="00E15B1C">
        <w:t xml:space="preserve">highway </w:t>
      </w:r>
      <w:r w:rsidRPr="00EC35A5">
        <w:t xml:space="preserve">for maintenance at public expense.  </w:t>
      </w:r>
      <w:r w:rsidRPr="007D59ED">
        <w:t>Advice on the requirements and procedures for adoption is given in the L</w:t>
      </w:r>
      <w:r w:rsidR="00CA71F8">
        <w:t>CC</w:t>
      </w:r>
      <w:r w:rsidRPr="007D59ED">
        <w:t xml:space="preserve"> </w:t>
      </w:r>
      <w:r w:rsidR="00E15B1C" w:rsidRPr="007D59ED">
        <w:t xml:space="preserve">residential road design guide </w:t>
      </w:r>
      <w:r w:rsidRPr="007D59ED">
        <w:t>"Creating Civilised Streets".</w:t>
      </w:r>
    </w:p>
    <w:p w14:paraId="68CA5BE9" w14:textId="77777777" w:rsidR="00024517" w:rsidRPr="00EC35A5" w:rsidRDefault="00E657F5" w:rsidP="00EC35A5">
      <w:pPr>
        <w:pStyle w:val="BodyText"/>
      </w:pPr>
      <w:r>
        <w:t>Any d</w:t>
      </w:r>
      <w:r w:rsidR="00707F71">
        <w:t>eparture</w:t>
      </w:r>
      <w:r>
        <w:t xml:space="preserve"> from the Specification </w:t>
      </w:r>
      <w:r w:rsidR="00697733">
        <w:t xml:space="preserve">will require the consent of </w:t>
      </w:r>
      <w:r w:rsidR="0014571F">
        <w:t xml:space="preserve">the </w:t>
      </w:r>
      <w:r w:rsidR="009D6041">
        <w:t xml:space="preserve">Head of Service- </w:t>
      </w:r>
      <w:r w:rsidR="00943C2A">
        <w:t>A</w:t>
      </w:r>
      <w:r w:rsidR="009D6041">
        <w:t>sset</w:t>
      </w:r>
      <w:r w:rsidR="00943C2A">
        <w:t xml:space="preserve"> Management</w:t>
      </w:r>
    </w:p>
    <w:p w14:paraId="3634F55A" w14:textId="77777777" w:rsidR="00EC35A5" w:rsidRPr="00EC35A5" w:rsidRDefault="00E657F5" w:rsidP="00EC35A5">
      <w:pPr>
        <w:pStyle w:val="BodyText"/>
      </w:pPr>
      <w:r w:rsidRPr="00EC35A5">
        <w:t xml:space="preserve">Immediately before adoption the Developer shall provide the maintaining highway authority with copies of plans showing areas agreed for adoption and easements for maintenance of structures together with details of construction, </w:t>
      </w:r>
      <w:r w:rsidR="00AA50C0" w:rsidRPr="00EC35A5">
        <w:t>drainage,</w:t>
      </w:r>
      <w:r w:rsidRPr="00EC35A5">
        <w:t xml:space="preserve"> and lighting. </w:t>
      </w:r>
      <w:r w:rsidRPr="00564DC1">
        <w:t>Street lighting may be taken over in advance of the adoption of road works in accordance with Clause </w:t>
      </w:r>
      <w:r w:rsidR="008A1CC5" w:rsidRPr="00564DC1">
        <w:t>9.11</w:t>
      </w:r>
      <w:r w:rsidR="00057E83">
        <w:t>, together with as-built drawings and health and safety file</w:t>
      </w:r>
    </w:p>
    <w:p w14:paraId="28B55344" w14:textId="77777777" w:rsidR="00B50E80" w:rsidRPr="00B50E80" w:rsidRDefault="00E657F5" w:rsidP="00B50E80">
      <w:pPr>
        <w:pStyle w:val="BodyText"/>
      </w:pPr>
      <w:r>
        <w:t>The ownership of s</w:t>
      </w:r>
      <w:r w:rsidR="00EC35A5" w:rsidRPr="00EC35A5">
        <w:t>urplus areas of land adjacent to an adopted road, and particularly between a service road and other adopted highway must be</w:t>
      </w:r>
      <w:r>
        <w:t xml:space="preserve"> defined</w:t>
      </w:r>
      <w:r w:rsidR="00234218">
        <w:t xml:space="preserve"> and</w:t>
      </w:r>
      <w:r w:rsidR="00EC35A5" w:rsidRPr="00EC35A5">
        <w:t xml:space="preserve"> agreed with the District Council as an amenity area, or</w:t>
      </w:r>
      <w:r w:rsidR="00234218">
        <w:t xml:space="preserve"> by</w:t>
      </w:r>
      <w:r w:rsidR="00EC35A5" w:rsidRPr="00EC35A5">
        <w:t xml:space="preserve"> other ownership</w:t>
      </w:r>
      <w:r w:rsidR="00AD087B">
        <w:t xml:space="preserve"> means</w:t>
      </w:r>
      <w:r w:rsidR="00EC35A5" w:rsidRPr="00EC35A5">
        <w:t>.</w:t>
      </w:r>
    </w:p>
    <w:p w14:paraId="4F481BD0" w14:textId="77777777" w:rsidR="006F30E9" w:rsidRPr="006F30E9" w:rsidRDefault="00E657F5" w:rsidP="006F30E9">
      <w:pPr>
        <w:pStyle w:val="Heading2"/>
      </w:pPr>
      <w:r>
        <w:t>General</w:t>
      </w:r>
    </w:p>
    <w:p w14:paraId="1C5FD8AD" w14:textId="77777777" w:rsidR="004C7CAB" w:rsidRPr="004C7CAB" w:rsidRDefault="00E657F5" w:rsidP="004C7CAB">
      <w:pPr>
        <w:pStyle w:val="BodyText"/>
      </w:pPr>
      <w:r w:rsidRPr="004C7CAB">
        <w:t xml:space="preserve">Work of construction of all roads, footways, highway drainage, street lighting systems or highway structures shall be carried out to the complete satisfaction of the Engineer; facilities shall be given to him at all stages of construction for the inspection, checking and testing of the works in progress.  The whole of the works shall be constructed in accordance with the drawings, unless otherwise agreed with the Engineer.  The works shall be maintained by the Developer for a period of twelve months from the date of </w:t>
      </w:r>
      <w:r w:rsidR="00D83A6A">
        <w:t>the maintenance certificate (Part 2)</w:t>
      </w:r>
      <w:r w:rsidRPr="004C7CAB">
        <w:t>, as certified in writing, by the Engineer.</w:t>
      </w:r>
    </w:p>
    <w:p w14:paraId="24081DB8" w14:textId="77777777" w:rsidR="004C7CAB" w:rsidRPr="00D938DD" w:rsidRDefault="00E657F5" w:rsidP="004C7CAB">
      <w:pPr>
        <w:pStyle w:val="BodyText"/>
      </w:pPr>
      <w:r w:rsidRPr="004C7CAB">
        <w:t xml:space="preserve">The Developer shall restore to the satisfaction of the Engineer, any </w:t>
      </w:r>
      <w:r w:rsidR="004E0674">
        <w:t xml:space="preserve">highways, </w:t>
      </w:r>
      <w:r w:rsidRPr="004C7CAB">
        <w:t xml:space="preserve">fences and other existing surfaces or highway furniture which may be interfered with by the construction of the works.  All services, pipes and culverts or other property which may be interfered with in the progress of the works or any existing sewers to be retained shall be carefully supported, </w:t>
      </w:r>
      <w:r w:rsidR="00AA50C0" w:rsidRPr="004C7CAB">
        <w:t>protected,</w:t>
      </w:r>
      <w:r w:rsidRPr="004C7CAB">
        <w:t xml:space="preserve"> or re-laid where necessary and in such a manner as the Statutory Authority may direct.  Any damage done to services, sewers, etc. must be reported to the appropriate Authority immediately.</w:t>
      </w:r>
    </w:p>
    <w:p w14:paraId="6668F083" w14:textId="77777777" w:rsidR="004C7CAB" w:rsidRPr="004C7CAB" w:rsidRDefault="00E657F5" w:rsidP="004C7CAB">
      <w:pPr>
        <w:pStyle w:val="BodyText"/>
      </w:pPr>
      <w:r w:rsidRPr="004C7CAB">
        <w:t>All surplus materials shall be disposed of off-site by the Developer and the site left to the approval of the Engineer.  During building operations all highways</w:t>
      </w:r>
      <w:r w:rsidR="00091BD9">
        <w:t>, inclusive of drainage,</w:t>
      </w:r>
      <w:r w:rsidRPr="004C7CAB">
        <w:t xml:space="preserve"> adjacent to the site used by the Developer for transporting materials to and from the site shall be kept clean and free from debris by the Developer.  A satisfactory access to all existing property bordering the site must be maintained throughout the construction period.</w:t>
      </w:r>
    </w:p>
    <w:p w14:paraId="62DFB52B" w14:textId="77777777" w:rsidR="004C7CAB" w:rsidRPr="004C7CAB" w:rsidRDefault="00E657F5" w:rsidP="004C7CAB">
      <w:pPr>
        <w:pStyle w:val="BodyText"/>
      </w:pPr>
      <w:r w:rsidRPr="004C7CAB">
        <w:t>The Developer shall submit for the Engineer's approval details of access routes for construction traffic prior to commencement of work.</w:t>
      </w:r>
    </w:p>
    <w:p w14:paraId="3B361BD2" w14:textId="77777777" w:rsidR="008D24B2" w:rsidRDefault="00E657F5" w:rsidP="008D24B2">
      <w:pPr>
        <w:pStyle w:val="Heading2"/>
      </w:pPr>
      <w:bookmarkStart w:id="3" w:name="_Toc87942641"/>
      <w:r>
        <w:t>Works on existing Highways</w:t>
      </w:r>
      <w:bookmarkEnd w:id="3"/>
    </w:p>
    <w:p w14:paraId="25D62207" w14:textId="77777777" w:rsidR="00DC7E83" w:rsidRDefault="00E657F5" w:rsidP="00AA68FD">
      <w:pPr>
        <w:pStyle w:val="BodyText"/>
      </w:pPr>
      <w:r>
        <w:t>Any works to existing adopted highways must be carried out under a Section 2</w:t>
      </w:r>
      <w:r w:rsidR="001A7CEA">
        <w:t>78</w:t>
      </w:r>
      <w:r>
        <w:t xml:space="preserve"> Agreement of the Highways Act 1980</w:t>
      </w:r>
      <w:r w:rsidR="009E37CA">
        <w:t xml:space="preserve"> or such other appropriate Highways Act </w:t>
      </w:r>
      <w:r w:rsidR="00B4382D">
        <w:t xml:space="preserve">1980 </w:t>
      </w:r>
      <w:r w:rsidR="00E72849">
        <w:t>consent or licence</w:t>
      </w:r>
      <w:r>
        <w:t>.</w:t>
      </w:r>
    </w:p>
    <w:p w14:paraId="22E43F1C" w14:textId="77777777" w:rsidR="00AA68FD" w:rsidRPr="00AA68FD" w:rsidRDefault="00E657F5" w:rsidP="00AA68FD">
      <w:pPr>
        <w:pStyle w:val="BodyText"/>
      </w:pPr>
      <w:r w:rsidRPr="00AA68FD">
        <w:t>Where work must be carried out on or adjacent to an existing public highway or a highway to which the public has access, the work shall be executed in accordance with Chapter 8 of the Traffic Signs Manual published by The Stationery Office.</w:t>
      </w:r>
      <w:r w:rsidR="006018A3">
        <w:t xml:space="preserve"> Note- a </w:t>
      </w:r>
      <w:r w:rsidR="00D65120">
        <w:t xml:space="preserve">Temporary </w:t>
      </w:r>
      <w:r w:rsidR="006018A3">
        <w:t>Traffic Regulation Order may be required.</w:t>
      </w:r>
    </w:p>
    <w:p w14:paraId="2955E379" w14:textId="77777777" w:rsidR="00AA68FD" w:rsidRPr="00AA68FD" w:rsidRDefault="00E657F5" w:rsidP="00AA68FD">
      <w:pPr>
        <w:pStyle w:val="BodyText"/>
      </w:pPr>
      <w:r w:rsidRPr="00AA68FD">
        <w:t>Where one-way traffic is unavoidable, traffic shall be controlled by a proper system of vehicle-actuated light signals or other means to be approved by the Engineer.</w:t>
      </w:r>
    </w:p>
    <w:p w14:paraId="5F046BAD" w14:textId="77777777" w:rsidR="00AA68FD" w:rsidRPr="00AA68FD" w:rsidRDefault="00E657F5" w:rsidP="00AA68FD">
      <w:pPr>
        <w:pStyle w:val="BodyText"/>
      </w:pPr>
      <w:r w:rsidRPr="00AA68FD">
        <w:t xml:space="preserve">Where the works involve the obstruction of a </w:t>
      </w:r>
      <w:r w:rsidRPr="0040675F">
        <w:t xml:space="preserve">footway the Developer shall provide an alternative safe footway properly signed, </w:t>
      </w:r>
      <w:r w:rsidR="00AA50C0" w:rsidRPr="0040675F">
        <w:t>guarded,</w:t>
      </w:r>
      <w:r w:rsidRPr="0040675F">
        <w:t xml:space="preserve"> and lit</w:t>
      </w:r>
      <w:r w:rsidR="00615A3D">
        <w:t xml:space="preserve">, in accordance with Chapter 8 of the Traffic Signs Manual </w:t>
      </w:r>
      <w:r w:rsidR="00AF12CB">
        <w:t xml:space="preserve">and </w:t>
      </w:r>
      <w:r w:rsidR="00AF12CB">
        <w:rPr>
          <w:rStyle w:val="ykmvie"/>
          <w:rFonts w:cs="Arial"/>
        </w:rPr>
        <w:t>Safety at Street Works and Road Works: A Code of Practice</w:t>
      </w:r>
      <w:r w:rsidRPr="0040675F">
        <w:t>. Reference shall be made to</w:t>
      </w:r>
      <w:r w:rsidR="00DE165B" w:rsidRPr="0040675F">
        <w:t xml:space="preserve"> DfT guidance found within "Inclusive Mobility"</w:t>
      </w:r>
      <w:r w:rsidRPr="0040675F">
        <w:t>.</w:t>
      </w:r>
    </w:p>
    <w:p w14:paraId="47A3BA11" w14:textId="77777777" w:rsidR="00AA68FD" w:rsidRPr="00AA68FD" w:rsidRDefault="00E657F5" w:rsidP="00AA68FD">
      <w:pPr>
        <w:pStyle w:val="BodyText"/>
      </w:pPr>
      <w:r w:rsidRPr="00AA68FD">
        <w:t>Approval of the Engineer must be obtained before excavation is undertaken in any embankment or existing ground providing support to the highway.  The Developer shall agree arrangements for the design of any structure with the Engineer.</w:t>
      </w:r>
    </w:p>
    <w:p w14:paraId="6F25FF6E" w14:textId="77777777" w:rsidR="00AA68FD" w:rsidRDefault="00E657F5" w:rsidP="00AA68FD">
      <w:pPr>
        <w:pStyle w:val="BodyText"/>
      </w:pPr>
      <w:r w:rsidRPr="00AA68FD">
        <w:t xml:space="preserve">The Engineer must be informed before any works commence in an existing public highway.  </w:t>
      </w:r>
      <w:r w:rsidR="00305434">
        <w:t xml:space="preserve">Any </w:t>
      </w:r>
      <w:r w:rsidR="00B27BD0">
        <w:t>e</w:t>
      </w:r>
      <w:r w:rsidRPr="00AA68FD">
        <w:t xml:space="preserve">xcavation in and reinstatement of existing highway surfaces shall be </w:t>
      </w:r>
      <w:r w:rsidR="00B27BD0">
        <w:t xml:space="preserve">planned and undertaken </w:t>
      </w:r>
      <w:r w:rsidRPr="00AA68FD">
        <w:t xml:space="preserve">in accordance with the requirements of </w:t>
      </w:r>
      <w:hyperlink r:id="rId15" w:history="1">
        <w:r w:rsidR="006D1849" w:rsidRPr="001A1763">
          <w:rPr>
            <w:rStyle w:val="Hyperlink"/>
            <w:rFonts w:cs="Helvetica-Light"/>
          </w:rPr>
          <w:t>'The Lancashire Permit Scheme for Road &amp; Street Activities'</w:t>
        </w:r>
      </w:hyperlink>
      <w:r w:rsidR="00B27BD0">
        <w:t>. This includes the submission and approval of a PA1 form</w:t>
      </w:r>
      <w:r w:rsidR="006348C4">
        <w:t xml:space="preserve"> </w:t>
      </w:r>
      <w:r w:rsidR="00C31BFF">
        <w:t xml:space="preserve">for </w:t>
      </w:r>
      <w:r w:rsidR="00AA50C0">
        <w:t>road space</w:t>
      </w:r>
      <w:r w:rsidR="00C31BFF">
        <w:t xml:space="preserve"> booking</w:t>
      </w:r>
      <w:r w:rsidR="00553DC5">
        <w:t>.</w:t>
      </w:r>
    </w:p>
    <w:p w14:paraId="1FC51653" w14:textId="77777777" w:rsidR="00CB1487" w:rsidRDefault="00E657F5" w:rsidP="00CB1487">
      <w:pPr>
        <w:pStyle w:val="Heading2"/>
      </w:pPr>
      <w:bookmarkStart w:id="4" w:name="_Toc87942642"/>
      <w:r>
        <w:t xml:space="preserve">Mud, </w:t>
      </w:r>
      <w:r w:rsidR="00AA50C0">
        <w:t>debris,</w:t>
      </w:r>
      <w:r>
        <w:t xml:space="preserve"> and dust on the public highway</w:t>
      </w:r>
      <w:bookmarkEnd w:id="4"/>
    </w:p>
    <w:p w14:paraId="66F62F43" w14:textId="77777777" w:rsidR="005471B8" w:rsidRPr="005471B8" w:rsidRDefault="00E657F5" w:rsidP="005471B8">
      <w:pPr>
        <w:pStyle w:val="BodyText"/>
      </w:pPr>
      <w:r w:rsidRPr="005471B8">
        <w:t>Highways in the vicinity of the works must be kept free from mud, debris and dust resulting from the works and measures shall be taken to protect the public from nuisance arising their public highways from.</w:t>
      </w:r>
    </w:p>
    <w:p w14:paraId="0D8017A0" w14:textId="77777777" w:rsidR="005471B8" w:rsidRDefault="00E657F5" w:rsidP="005471B8">
      <w:pPr>
        <w:pStyle w:val="BodyText"/>
      </w:pPr>
      <w:r w:rsidRPr="005471B8">
        <w:t>Warning signs must be exhibited whilst work is in progress and carriageways, footways and drains affected must be regularly cleaned.</w:t>
      </w:r>
    </w:p>
    <w:p w14:paraId="06171963" w14:textId="77777777" w:rsidR="00EA192E" w:rsidRDefault="00E657F5" w:rsidP="00EA192E">
      <w:pPr>
        <w:pStyle w:val="Heading2"/>
      </w:pPr>
      <w:bookmarkStart w:id="5" w:name="_Toc87942643"/>
      <w:r>
        <w:t>Control of noise</w:t>
      </w:r>
      <w:bookmarkEnd w:id="5"/>
    </w:p>
    <w:p w14:paraId="3F35B0A6" w14:textId="77777777" w:rsidR="0088658B" w:rsidRPr="0088658B" w:rsidRDefault="00E657F5" w:rsidP="0088658B">
      <w:pPr>
        <w:pStyle w:val="BodyText"/>
      </w:pPr>
      <w:r w:rsidRPr="0088658B">
        <w:t>The best practicable means to prevent or reduce noise during the execution of work shall be used including the use of effective silencers on power-operated plant and equipment and the use of a purpose-made muffler on any pneumatic breaker or drill.</w:t>
      </w:r>
    </w:p>
    <w:p w14:paraId="09C6A74D" w14:textId="77777777" w:rsidR="004B445E" w:rsidRDefault="00E657F5" w:rsidP="004B445E">
      <w:pPr>
        <w:pStyle w:val="Heading2"/>
      </w:pPr>
      <w:bookmarkStart w:id="6" w:name="_Toc87942644"/>
      <w:r>
        <w:t>Prohibition use of the highway</w:t>
      </w:r>
      <w:bookmarkEnd w:id="6"/>
    </w:p>
    <w:p w14:paraId="250CE408" w14:textId="77777777" w:rsidR="00030C80" w:rsidRPr="005471B8" w:rsidRDefault="00E657F5" w:rsidP="005471B8">
      <w:pPr>
        <w:pStyle w:val="BodyText"/>
      </w:pPr>
      <w:r w:rsidRPr="001D7137">
        <w:t>Existing public highways shall not be used as sites for stockpiling and storing plant, vehicles, use of the materials or equipment.  The Contractor shall be liable for the cost of reinstatement if damage has been caused to highways.</w:t>
      </w:r>
    </w:p>
    <w:p w14:paraId="7A94BD13" w14:textId="77777777" w:rsidR="009E1267" w:rsidRDefault="00E657F5" w:rsidP="009E1267">
      <w:pPr>
        <w:pStyle w:val="Heading2"/>
      </w:pPr>
      <w:bookmarkStart w:id="7" w:name="_Toc87942645"/>
      <w:r>
        <w:t>Order of work</w:t>
      </w:r>
      <w:bookmarkEnd w:id="7"/>
    </w:p>
    <w:p w14:paraId="37268E9E" w14:textId="77777777" w:rsidR="00855498" w:rsidRPr="00855498" w:rsidRDefault="00E657F5" w:rsidP="00855498">
      <w:pPr>
        <w:pStyle w:val="BodyText"/>
      </w:pPr>
      <w:r w:rsidRPr="00855498">
        <w:t>The programme for construction shall cater for the following requirements:</w:t>
      </w:r>
    </w:p>
    <w:p w14:paraId="5D3A2208" w14:textId="77777777" w:rsidR="00855498" w:rsidRPr="00855498" w:rsidRDefault="00E657F5" w:rsidP="00855498">
      <w:pPr>
        <w:pStyle w:val="BodyText"/>
      </w:pPr>
      <w:r w:rsidRPr="00855498">
        <w:t xml:space="preserve">All work within the area of carriageway construction such as drainage and sewerage </w:t>
      </w:r>
      <w:r w:rsidR="00887B46" w:rsidRPr="00855498">
        <w:t>work</w:t>
      </w:r>
      <w:r w:rsidRPr="00855498">
        <w:t>,</w:t>
      </w:r>
      <w:r w:rsidR="00887B46">
        <w:t xml:space="preserve"> </w:t>
      </w:r>
      <w:r w:rsidRPr="00855498">
        <w:t>installation of statutory undertakers' mains and any service cross connections, ducts and manholes for future cabling and street-lighting cross connections should be complete wherever possible before highway construction is commenced.</w:t>
      </w:r>
    </w:p>
    <w:p w14:paraId="1A38768F" w14:textId="77777777" w:rsidR="00855498" w:rsidRPr="00855498" w:rsidRDefault="00E657F5" w:rsidP="00855498">
      <w:pPr>
        <w:pStyle w:val="BodyText"/>
      </w:pPr>
      <w:r w:rsidRPr="00855498">
        <w:t>Highway construction shall then be carried out in two stages:</w:t>
      </w:r>
    </w:p>
    <w:p w14:paraId="032903C6" w14:textId="77777777" w:rsidR="00855498" w:rsidRPr="00855498" w:rsidRDefault="00E657F5" w:rsidP="00855498">
      <w:pPr>
        <w:pStyle w:val="BodyText"/>
      </w:pPr>
      <w:r w:rsidRPr="00855498">
        <w:t>Stage 1</w:t>
      </w:r>
    </w:p>
    <w:p w14:paraId="578282C4" w14:textId="77777777" w:rsidR="00855498" w:rsidRPr="00855498" w:rsidRDefault="00E657F5" w:rsidP="00855498">
      <w:pPr>
        <w:pStyle w:val="Bullet"/>
      </w:pPr>
      <w:r w:rsidRPr="00855498">
        <w:t xml:space="preserve">Formation preparation, sub-base, roadbase, kerbs, </w:t>
      </w:r>
      <w:r w:rsidR="00AA50C0" w:rsidRPr="00855498">
        <w:t>channels,</w:t>
      </w:r>
      <w:r w:rsidRPr="00855498">
        <w:t xml:space="preserve"> and gullies. All pipe, duct and cable connections shall be marked.</w:t>
      </w:r>
    </w:p>
    <w:p w14:paraId="44DF901E" w14:textId="77777777" w:rsidR="00855498" w:rsidRPr="00855498" w:rsidRDefault="00E657F5" w:rsidP="00855498">
      <w:pPr>
        <w:pStyle w:val="Bullet"/>
      </w:pPr>
      <w:r w:rsidRPr="00855498">
        <w:t>Install street lighting prior to occupation of dwellings.</w:t>
      </w:r>
    </w:p>
    <w:p w14:paraId="4FA8A37E" w14:textId="77777777" w:rsidR="00855498" w:rsidRPr="00855498" w:rsidRDefault="00E657F5" w:rsidP="00855498">
      <w:pPr>
        <w:pStyle w:val="Bullet"/>
      </w:pPr>
      <w:r w:rsidRPr="00855498">
        <w:t>Then follows site development and making service connections.</w:t>
      </w:r>
    </w:p>
    <w:p w14:paraId="1394F563" w14:textId="77777777" w:rsidR="00855498" w:rsidRPr="00855498" w:rsidRDefault="00E657F5" w:rsidP="00855498">
      <w:pPr>
        <w:pStyle w:val="BodyText"/>
      </w:pPr>
      <w:r w:rsidRPr="00855498">
        <w:t>Stage 2</w:t>
      </w:r>
    </w:p>
    <w:p w14:paraId="54969DEC" w14:textId="77777777" w:rsidR="00855498" w:rsidRPr="00855498" w:rsidRDefault="00E657F5" w:rsidP="00855498">
      <w:pPr>
        <w:pStyle w:val="Bullet"/>
      </w:pPr>
      <w:r w:rsidRPr="00855498">
        <w:t>Make good as necessary all faults including settlement and apply binder course regulating layer.</w:t>
      </w:r>
    </w:p>
    <w:p w14:paraId="31354119" w14:textId="77777777" w:rsidR="00855498" w:rsidRPr="00D938DD" w:rsidRDefault="00E657F5" w:rsidP="00855498">
      <w:pPr>
        <w:pStyle w:val="Bullet"/>
      </w:pPr>
      <w:r w:rsidRPr="00855498">
        <w:t>Complete footway construction and carriageway surfacing.</w:t>
      </w:r>
    </w:p>
    <w:p w14:paraId="630F382B" w14:textId="77777777" w:rsidR="00057E90" w:rsidRDefault="00E657F5" w:rsidP="00057E90">
      <w:pPr>
        <w:pStyle w:val="Heading2"/>
      </w:pPr>
      <w:bookmarkStart w:id="8" w:name="_Toc87942646"/>
      <w:r>
        <w:t>Street name plates</w:t>
      </w:r>
      <w:bookmarkEnd w:id="8"/>
    </w:p>
    <w:p w14:paraId="59EAAC86" w14:textId="77777777" w:rsidR="0007117A" w:rsidRDefault="00E657F5" w:rsidP="00887B46">
      <w:pPr>
        <w:pStyle w:val="BodyText"/>
      </w:pPr>
      <w:r w:rsidRPr="00887B46">
        <w:t>The Developer shall provide and erect street name plates to the specification and satisfaction of the District or City Council.</w:t>
      </w:r>
    </w:p>
    <w:p w14:paraId="1AE987E5" w14:textId="77777777" w:rsidR="00C50693" w:rsidRDefault="00E657F5" w:rsidP="00C50693">
      <w:pPr>
        <w:pStyle w:val="Heading2"/>
      </w:pPr>
      <w:bookmarkStart w:id="9" w:name="_Toc87942647"/>
      <w:r>
        <w:t>Statutory Undertakers Equipment</w:t>
      </w:r>
      <w:bookmarkEnd w:id="9"/>
    </w:p>
    <w:p w14:paraId="0C0F0F4C" w14:textId="77777777" w:rsidR="00C50693" w:rsidRPr="00C50693" w:rsidRDefault="00E657F5" w:rsidP="00C50693">
      <w:pPr>
        <w:pStyle w:val="BodyText"/>
      </w:pPr>
      <w:r w:rsidRPr="00C50693">
        <w:t xml:space="preserve">Layout details and positioning of statutory </w:t>
      </w:r>
      <w:r w:rsidR="001E7D40" w:rsidRPr="00C50693">
        <w:t>undertakers'</w:t>
      </w:r>
      <w:r w:rsidRPr="00C50693">
        <w:t xml:space="preserve"> equipment shall be in accordance with 'Volume 1 – Street </w:t>
      </w:r>
      <w:r w:rsidR="00465315">
        <w:t>W</w:t>
      </w:r>
      <w:r w:rsidRPr="00C50693">
        <w:t xml:space="preserve">orks UK guidance on the positioning and colour coding of underground utilities' apparatus' and 'Volume 2 – </w:t>
      </w:r>
      <w:r w:rsidR="00465315">
        <w:t>Street Works UK</w:t>
      </w:r>
      <w:r w:rsidRPr="00C50693">
        <w:t xml:space="preserve"> guidelines on the positioning of underground utilities apparatus for new development sites'.</w:t>
      </w:r>
    </w:p>
    <w:p w14:paraId="38CA8571" w14:textId="77777777" w:rsidR="00C50693" w:rsidRDefault="00E657F5" w:rsidP="00C50693">
      <w:pPr>
        <w:pStyle w:val="Heading2"/>
      </w:pPr>
      <w:bookmarkStart w:id="10" w:name="_Toc87942648"/>
      <w:r>
        <w:t>Design Criteria</w:t>
      </w:r>
      <w:bookmarkEnd w:id="10"/>
    </w:p>
    <w:p w14:paraId="4C6E07AF" w14:textId="77777777" w:rsidR="00C50693" w:rsidRPr="001E7D40" w:rsidRDefault="00E657F5" w:rsidP="00C50693">
      <w:pPr>
        <w:pStyle w:val="BodyText"/>
      </w:pPr>
      <w:r w:rsidRPr="001E7D40">
        <w:t>Development proposals shall satisfy the principles of the L</w:t>
      </w:r>
      <w:r w:rsidR="00CA71F8">
        <w:t>CC</w:t>
      </w:r>
      <w:r w:rsidRPr="001E7D40">
        <w:t xml:space="preserve"> </w:t>
      </w:r>
      <w:r w:rsidR="00EB6888" w:rsidRPr="001E7D40">
        <w:t xml:space="preserve">residential road design </w:t>
      </w:r>
      <w:r w:rsidRPr="001E7D40">
        <w:t>guide "Creating Civilised Streets" and Manual for Streets.</w:t>
      </w:r>
    </w:p>
    <w:p w14:paraId="342990ED" w14:textId="77777777" w:rsidR="00C50693" w:rsidRPr="001E7D40" w:rsidRDefault="00E657F5" w:rsidP="00C50693">
      <w:pPr>
        <w:pStyle w:val="BodyText"/>
      </w:pPr>
      <w:r w:rsidRPr="001E7D40">
        <w:t>Cycling infrastructure shall be design</w:t>
      </w:r>
      <w:r w:rsidR="00EB6888" w:rsidRPr="001E7D40">
        <w:t>ed</w:t>
      </w:r>
      <w:r w:rsidRPr="001E7D40">
        <w:t xml:space="preserve"> in accordance with 'LTN1/20 Cycle Infrastructure Design'.</w:t>
      </w:r>
    </w:p>
    <w:p w14:paraId="39A9B176" w14:textId="77777777" w:rsidR="00C50693" w:rsidRDefault="00E657F5" w:rsidP="00C50693">
      <w:pPr>
        <w:pStyle w:val="BodyText"/>
      </w:pPr>
      <w:r w:rsidRPr="001E7D40">
        <w:t>Reference shall be made to Manual for Streets 2 'Wider Application of the Principles' for details of widths, alignments, gradients, crossfalls and intersections for all traditional housing layouts.</w:t>
      </w:r>
      <w:r w:rsidR="00BC4A72" w:rsidRPr="001E7D40">
        <w:t xml:space="preserve"> Manual for Streets 3, when released shall </w:t>
      </w:r>
      <w:r w:rsidR="004E0674" w:rsidRPr="001E7D40">
        <w:t>supersede</w:t>
      </w:r>
      <w:r w:rsidR="00BC4A72" w:rsidRPr="001E7D40">
        <w:t xml:space="preserve"> </w:t>
      </w:r>
      <w:r w:rsidR="00EB6888" w:rsidRPr="001E7D40">
        <w:t xml:space="preserve">as necessary </w:t>
      </w:r>
      <w:r w:rsidR="00BC4A72" w:rsidRPr="001E7D40">
        <w:t xml:space="preserve">any requirements within the </w:t>
      </w:r>
      <w:r w:rsidR="005961AA" w:rsidRPr="001E7D40">
        <w:t xml:space="preserve">proceeding </w:t>
      </w:r>
      <w:r w:rsidR="00D11AF6" w:rsidRPr="001E7D40">
        <w:t xml:space="preserve">versions of the </w:t>
      </w:r>
      <w:r w:rsidR="005961AA" w:rsidRPr="001E7D40">
        <w:t>Manual for Streets.</w:t>
      </w:r>
    </w:p>
    <w:p w14:paraId="3E09BBC8" w14:textId="77777777" w:rsidR="00C50693" w:rsidRPr="00C50693" w:rsidRDefault="00E657F5" w:rsidP="00C50693">
      <w:pPr>
        <w:pStyle w:val="BodyText"/>
      </w:pPr>
      <w:r w:rsidRPr="00C50693">
        <w:t>The Developer must adhere to the</w:t>
      </w:r>
      <w:r w:rsidR="00EC0CD5">
        <w:t xml:space="preserve"> Department for Transport advice on mobility found within "Inclusive Mobility"</w:t>
      </w:r>
      <w:r w:rsidRPr="00C50693">
        <w:t>. Variations must be agreed with the Engineer and will only be approved in exceptional circumstance where external factors such as topography make the requirements impossible to meet.</w:t>
      </w:r>
    </w:p>
    <w:p w14:paraId="1675BF2D" w14:textId="77777777" w:rsidR="00C50693" w:rsidRPr="00C50693" w:rsidRDefault="00E657F5" w:rsidP="00C50693">
      <w:pPr>
        <w:pStyle w:val="BodyText"/>
      </w:pPr>
      <w:r w:rsidRPr="006348C4">
        <w:t>Lighting designs shall be in accordance with the requirements of the L</w:t>
      </w:r>
      <w:r w:rsidR="00CA71F8">
        <w:t>CC</w:t>
      </w:r>
      <w:r w:rsidRPr="006348C4">
        <w:t xml:space="preserve"> Code of Practice on Road Lighting and Highway Electrical Systems Design and any specific design requirements of the Engineer.</w:t>
      </w:r>
    </w:p>
    <w:p w14:paraId="3E33DAD1" w14:textId="77777777" w:rsidR="00C50693" w:rsidRDefault="00E657F5" w:rsidP="00C50693">
      <w:pPr>
        <w:pStyle w:val="Heading2"/>
      </w:pPr>
      <w:bookmarkStart w:id="11" w:name="_Toc87942649"/>
      <w:r>
        <w:t>Supervision</w:t>
      </w:r>
      <w:bookmarkEnd w:id="11"/>
    </w:p>
    <w:p w14:paraId="665E69FA" w14:textId="77777777" w:rsidR="00C50693" w:rsidRPr="00C50693" w:rsidRDefault="00E657F5" w:rsidP="00C50693">
      <w:pPr>
        <w:pStyle w:val="BodyText"/>
      </w:pPr>
      <w:r w:rsidRPr="00C50693">
        <w:t>The Developer or works promoter shall appoint a competent representative on the site and the Engineer shall have the right to ask for the removal of an unsatisfactory representative.</w:t>
      </w:r>
    </w:p>
    <w:p w14:paraId="4F1484CB" w14:textId="77777777" w:rsidR="00054EEB" w:rsidRDefault="00E657F5" w:rsidP="00054EEB">
      <w:pPr>
        <w:pStyle w:val="Heading2"/>
      </w:pPr>
      <w:bookmarkStart w:id="12" w:name="_Toc87942650"/>
      <w:r>
        <w:t>Materials and Workmanship</w:t>
      </w:r>
      <w:bookmarkEnd w:id="12"/>
    </w:p>
    <w:p w14:paraId="61374BF1" w14:textId="77777777" w:rsidR="00054EEB" w:rsidRPr="00054EEB" w:rsidRDefault="00E657F5" w:rsidP="00054EEB">
      <w:pPr>
        <w:pStyle w:val="BodyText"/>
      </w:pPr>
      <w:r w:rsidRPr="00054EEB">
        <w:t>Prior to incorporating any material into the permanent works, the Developer shall submit to the Engineer for his approval a list of his proposed suppliers and of the sources of materials to be used.  Where required the Developer shall also submit samples of materials to the Engineer for approval, the quality of such samples being representative of those to be used. The source of materials shall not be changed without the approval of the Engineer.</w:t>
      </w:r>
    </w:p>
    <w:p w14:paraId="2169417B" w14:textId="77777777" w:rsidR="00054EEB" w:rsidRPr="00D938DD" w:rsidRDefault="00E657F5" w:rsidP="006348C4">
      <w:pPr>
        <w:pStyle w:val="BodyText"/>
        <w:rPr>
          <w:lang w:eastAsia="en-GB"/>
        </w:rPr>
      </w:pPr>
      <w:r w:rsidRPr="00054EEB">
        <w:t xml:space="preserve">During construction, testing of materials will be carried out by the Engineer at his discretion.  The Developer shall afford to the Engineer full power to test, at the expense of the Developer, all components, materials, tackle, or workmanship and to reject any which in his absolute discretion shall appear to be unsatisfactory. In the event of any rejection, the Developer shall replace the rejected parts with such replacements as shall be acceptable to the Engineer.  In this regard the Developer shall permit the Engineer to have access (in so far as is practicable) to all components, materials or tackle intended for use in the carrying out of the Highway Works whether on </w:t>
      </w:r>
      <w:r w:rsidR="007F0EFB">
        <w:t>s</w:t>
      </w:r>
      <w:r w:rsidR="007F0EFB" w:rsidRPr="00054EEB">
        <w:t xml:space="preserve">ite </w:t>
      </w:r>
      <w:r w:rsidRPr="00054EEB">
        <w:t xml:space="preserve">or </w:t>
      </w:r>
      <w:r w:rsidR="006348C4">
        <w:t xml:space="preserve">on </w:t>
      </w:r>
      <w:r w:rsidR="006348C4" w:rsidRPr="00054EEB">
        <w:t>Highway</w:t>
      </w:r>
      <w:r w:rsidRPr="00054EEB">
        <w:t xml:space="preserve"> Land and shall permit the taking up and removal of any part or parts for analysis and testing.</w:t>
      </w:r>
    </w:p>
    <w:p w14:paraId="5E01D8DC" w14:textId="77777777" w:rsidR="00054EEB" w:rsidRDefault="00E657F5" w:rsidP="00054EEB">
      <w:pPr>
        <w:pStyle w:val="Heading2"/>
      </w:pPr>
      <w:bookmarkStart w:id="13" w:name="_Toc87942651"/>
      <w:r>
        <w:t>Highway Structures</w:t>
      </w:r>
      <w:bookmarkEnd w:id="13"/>
    </w:p>
    <w:p w14:paraId="07E94D36" w14:textId="77777777" w:rsidR="003A7275" w:rsidRDefault="00E657F5" w:rsidP="00054EEB">
      <w:pPr>
        <w:pStyle w:val="BodyText"/>
      </w:pPr>
      <w:r w:rsidRPr="00054EEB">
        <w:t xml:space="preserve">Highway structures </w:t>
      </w:r>
      <w:r w:rsidR="0015306C">
        <w:t>include bridges, culverts and retaining walls</w:t>
      </w:r>
      <w:r>
        <w:t>, where they are defined as:</w:t>
      </w:r>
    </w:p>
    <w:p w14:paraId="1C43C991" w14:textId="77777777" w:rsidR="00054EEB" w:rsidRPr="00054EEB" w:rsidRDefault="00E657F5" w:rsidP="00054EEB">
      <w:pPr>
        <w:pStyle w:val="BodyText"/>
      </w:pPr>
      <w:r>
        <w:t>B</w:t>
      </w:r>
      <w:r w:rsidRPr="00054EEB">
        <w:t xml:space="preserve">ridges or culverts having a span of 1.5 metres or more, in the case of multiple pipe or multiple box section culverts, any structure having a total-cross sectional area of waterway exceeding 2.2 square metres. </w:t>
      </w:r>
    </w:p>
    <w:p w14:paraId="6F9874F2" w14:textId="77777777" w:rsidR="00054EEB" w:rsidRPr="00054EEB" w:rsidRDefault="00E657F5" w:rsidP="00054EEB">
      <w:pPr>
        <w:pStyle w:val="BodyText"/>
      </w:pPr>
      <w:r w:rsidRPr="00054EEB">
        <w:t>In the above definition span refers to the distance between centre of supports and not the clear distance between supports. In some instances, it is difficult to obtain the actual span (e.g., structures which are part of long culverted watercourses). In these cases, the following clear spans shall be considered as equivalent to a 1.5 metre span</w:t>
      </w:r>
      <w:r w:rsidR="00B42A9D">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2127"/>
      </w:tblGrid>
      <w:tr w:rsidR="00B933CA" w14:paraId="2A7037F9" w14:textId="77777777" w:rsidTr="00232C05">
        <w:trPr>
          <w:jc w:val="center"/>
        </w:trPr>
        <w:tc>
          <w:tcPr>
            <w:tcW w:w="4546" w:type="dxa"/>
            <w:tcBorders>
              <w:bottom w:val="single" w:sz="4" w:space="0" w:color="auto"/>
            </w:tcBorders>
            <w:shd w:val="clear" w:color="auto" w:fill="B4C6E7"/>
          </w:tcPr>
          <w:p w14:paraId="46CB6DBC" w14:textId="77777777" w:rsidR="00054EEB" w:rsidRPr="00810BA6" w:rsidRDefault="00E657F5" w:rsidP="00F96C27">
            <w:pPr>
              <w:spacing w:after="0"/>
              <w:rPr>
                <w:rFonts w:cs="Arial"/>
                <w:b/>
                <w:bCs/>
                <w:iCs/>
                <w:sz w:val="20"/>
                <w:szCs w:val="20"/>
              </w:rPr>
            </w:pPr>
            <w:r w:rsidRPr="00810BA6">
              <w:rPr>
                <w:rFonts w:cs="Arial"/>
                <w:b/>
                <w:bCs/>
                <w:iCs/>
                <w:sz w:val="20"/>
                <w:szCs w:val="20"/>
              </w:rPr>
              <w:t>Construction</w:t>
            </w:r>
          </w:p>
        </w:tc>
        <w:tc>
          <w:tcPr>
            <w:tcW w:w="2127" w:type="dxa"/>
            <w:tcBorders>
              <w:bottom w:val="single" w:sz="4" w:space="0" w:color="auto"/>
            </w:tcBorders>
            <w:shd w:val="clear" w:color="auto" w:fill="B4C6E7"/>
          </w:tcPr>
          <w:p w14:paraId="053DAF06" w14:textId="77777777" w:rsidR="00054EEB" w:rsidRPr="00810BA6" w:rsidRDefault="00E657F5" w:rsidP="00F96C27">
            <w:pPr>
              <w:spacing w:after="0"/>
              <w:jc w:val="center"/>
              <w:rPr>
                <w:rFonts w:cs="Arial"/>
                <w:b/>
                <w:bCs/>
                <w:iCs/>
                <w:sz w:val="20"/>
                <w:szCs w:val="20"/>
              </w:rPr>
            </w:pPr>
            <w:r w:rsidRPr="00810BA6">
              <w:rPr>
                <w:rFonts w:cs="Arial"/>
                <w:b/>
                <w:bCs/>
                <w:iCs/>
                <w:sz w:val="20"/>
                <w:szCs w:val="20"/>
              </w:rPr>
              <w:t>Clear Span (metres)</w:t>
            </w:r>
          </w:p>
        </w:tc>
      </w:tr>
      <w:tr w:rsidR="00B933CA" w14:paraId="6DBCA97F" w14:textId="77777777" w:rsidTr="00232C05">
        <w:trPr>
          <w:jc w:val="center"/>
        </w:trPr>
        <w:tc>
          <w:tcPr>
            <w:tcW w:w="4546" w:type="dxa"/>
            <w:shd w:val="clear" w:color="auto" w:fill="FBE4D5"/>
          </w:tcPr>
          <w:p w14:paraId="2E20072D" w14:textId="77777777" w:rsidR="00054EEB" w:rsidRPr="00810BA6" w:rsidRDefault="00E657F5" w:rsidP="00F96C27">
            <w:pPr>
              <w:spacing w:after="0"/>
              <w:rPr>
                <w:rFonts w:cs="Arial"/>
                <w:iCs/>
                <w:sz w:val="20"/>
                <w:szCs w:val="20"/>
              </w:rPr>
            </w:pPr>
            <w:r w:rsidRPr="00810BA6">
              <w:rPr>
                <w:rFonts w:cs="Arial"/>
                <w:iCs/>
                <w:sz w:val="20"/>
                <w:szCs w:val="20"/>
              </w:rPr>
              <w:t>Masonry arches or slabs on masonry abutments</w:t>
            </w:r>
          </w:p>
        </w:tc>
        <w:tc>
          <w:tcPr>
            <w:tcW w:w="2127" w:type="dxa"/>
            <w:shd w:val="clear" w:color="auto" w:fill="FBE4D5"/>
          </w:tcPr>
          <w:p w14:paraId="1DC01A46" w14:textId="77777777" w:rsidR="00054EEB" w:rsidRPr="00810BA6" w:rsidRDefault="00E657F5" w:rsidP="00F96C27">
            <w:pPr>
              <w:spacing w:after="0"/>
              <w:jc w:val="center"/>
              <w:rPr>
                <w:rFonts w:cs="Arial"/>
                <w:iCs/>
                <w:sz w:val="20"/>
                <w:szCs w:val="20"/>
              </w:rPr>
            </w:pPr>
            <w:r w:rsidRPr="00810BA6">
              <w:rPr>
                <w:rFonts w:cs="Arial"/>
                <w:iCs/>
                <w:sz w:val="20"/>
                <w:szCs w:val="20"/>
              </w:rPr>
              <w:t>1.2</w:t>
            </w:r>
          </w:p>
        </w:tc>
      </w:tr>
      <w:tr w:rsidR="00B933CA" w14:paraId="219AFBCB" w14:textId="77777777" w:rsidTr="00232C05">
        <w:trPr>
          <w:jc w:val="center"/>
        </w:trPr>
        <w:tc>
          <w:tcPr>
            <w:tcW w:w="4546" w:type="dxa"/>
            <w:shd w:val="clear" w:color="auto" w:fill="FBE4D5"/>
          </w:tcPr>
          <w:p w14:paraId="79BF6492" w14:textId="77777777" w:rsidR="00054EEB" w:rsidRPr="00810BA6" w:rsidRDefault="00E657F5" w:rsidP="00F96C27">
            <w:pPr>
              <w:spacing w:after="0"/>
              <w:rPr>
                <w:rFonts w:cs="Arial"/>
                <w:iCs/>
                <w:sz w:val="20"/>
                <w:szCs w:val="20"/>
              </w:rPr>
            </w:pPr>
            <w:r w:rsidRPr="00810BA6">
              <w:rPr>
                <w:rFonts w:cs="Arial"/>
                <w:iCs/>
                <w:sz w:val="20"/>
                <w:szCs w:val="20"/>
              </w:rPr>
              <w:t>Reinforced concrete boxes</w:t>
            </w:r>
          </w:p>
        </w:tc>
        <w:tc>
          <w:tcPr>
            <w:tcW w:w="2127" w:type="dxa"/>
            <w:shd w:val="clear" w:color="auto" w:fill="FBE4D5"/>
          </w:tcPr>
          <w:p w14:paraId="3E82238F" w14:textId="77777777" w:rsidR="00054EEB" w:rsidRPr="00810BA6" w:rsidRDefault="00E657F5" w:rsidP="00F96C27">
            <w:pPr>
              <w:spacing w:after="0"/>
              <w:jc w:val="center"/>
              <w:rPr>
                <w:rFonts w:cs="Arial"/>
                <w:iCs/>
                <w:sz w:val="20"/>
                <w:szCs w:val="20"/>
              </w:rPr>
            </w:pPr>
            <w:r w:rsidRPr="00810BA6">
              <w:rPr>
                <w:rFonts w:cs="Arial"/>
                <w:iCs/>
                <w:sz w:val="20"/>
                <w:szCs w:val="20"/>
              </w:rPr>
              <w:t>1.3</w:t>
            </w:r>
          </w:p>
        </w:tc>
      </w:tr>
      <w:tr w:rsidR="00B933CA" w14:paraId="09D37D70" w14:textId="77777777" w:rsidTr="00232C05">
        <w:trPr>
          <w:jc w:val="center"/>
        </w:trPr>
        <w:tc>
          <w:tcPr>
            <w:tcW w:w="4546" w:type="dxa"/>
            <w:shd w:val="clear" w:color="auto" w:fill="FBE4D5"/>
          </w:tcPr>
          <w:p w14:paraId="51BA623A" w14:textId="77777777" w:rsidR="00054EEB" w:rsidRPr="00810BA6" w:rsidRDefault="00E657F5" w:rsidP="00F96C27">
            <w:pPr>
              <w:spacing w:after="0"/>
              <w:rPr>
                <w:rFonts w:cs="Arial"/>
                <w:iCs/>
                <w:sz w:val="20"/>
                <w:szCs w:val="20"/>
              </w:rPr>
            </w:pPr>
            <w:r w:rsidRPr="00810BA6">
              <w:rPr>
                <w:rFonts w:cs="Arial"/>
                <w:iCs/>
                <w:sz w:val="20"/>
                <w:szCs w:val="20"/>
              </w:rPr>
              <w:t>Concrete pipes</w:t>
            </w:r>
          </w:p>
        </w:tc>
        <w:tc>
          <w:tcPr>
            <w:tcW w:w="2127" w:type="dxa"/>
            <w:shd w:val="clear" w:color="auto" w:fill="FBE4D5"/>
          </w:tcPr>
          <w:p w14:paraId="76572FD9" w14:textId="77777777" w:rsidR="00054EEB" w:rsidRPr="00810BA6" w:rsidRDefault="00E657F5" w:rsidP="00F96C27">
            <w:pPr>
              <w:spacing w:after="0"/>
              <w:jc w:val="center"/>
              <w:rPr>
                <w:rFonts w:cs="Arial"/>
                <w:iCs/>
                <w:sz w:val="20"/>
                <w:szCs w:val="20"/>
              </w:rPr>
            </w:pPr>
            <w:r w:rsidRPr="00810BA6">
              <w:rPr>
                <w:rFonts w:cs="Arial"/>
                <w:iCs/>
                <w:sz w:val="20"/>
                <w:szCs w:val="20"/>
              </w:rPr>
              <w:t>1.4</w:t>
            </w:r>
          </w:p>
        </w:tc>
      </w:tr>
    </w:tbl>
    <w:p w14:paraId="117FF0DB" w14:textId="77777777" w:rsidR="007F0EFB" w:rsidRDefault="00E657F5" w:rsidP="00B42A9D">
      <w:pPr>
        <w:pStyle w:val="Caption"/>
        <w:jc w:val="center"/>
      </w:pPr>
      <w:bookmarkStart w:id="14" w:name="_Toc119569288"/>
      <w:bookmarkStart w:id="15" w:name="_Toc120010308"/>
      <w:r>
        <w:t xml:space="preserve">Table </w:t>
      </w:r>
      <w:r w:rsidR="00737389">
        <w:fldChar w:fldCharType="begin"/>
      </w:r>
      <w:r>
        <w:instrText xml:space="preserve"> SEQ Table \* ARABIC </w:instrText>
      </w:r>
      <w:r w:rsidR="00737389">
        <w:fldChar w:fldCharType="separate"/>
      </w:r>
      <w:r w:rsidR="00737389">
        <w:rPr>
          <w:noProof/>
        </w:rPr>
        <w:t>1</w:t>
      </w:r>
      <w:r w:rsidR="00737389">
        <w:rPr>
          <w:noProof/>
        </w:rPr>
        <w:fldChar w:fldCharType="end"/>
      </w:r>
      <w:r>
        <w:t xml:space="preserve"> - Structures spans</w:t>
      </w:r>
      <w:bookmarkEnd w:id="14"/>
      <w:bookmarkEnd w:id="15"/>
    </w:p>
    <w:p w14:paraId="7447B9C0" w14:textId="77777777" w:rsidR="00796B76" w:rsidRDefault="00E657F5" w:rsidP="00054EEB">
      <w:pPr>
        <w:pStyle w:val="BodyText"/>
      </w:pPr>
      <w:r w:rsidRPr="00054EEB">
        <w:t>Retaining walls are defined</w:t>
      </w:r>
      <w:r>
        <w:t xml:space="preserve"> as</w:t>
      </w:r>
      <w:r w:rsidR="00EB4C75">
        <w:t>:</w:t>
      </w:r>
    </w:p>
    <w:p w14:paraId="7EAE03CA" w14:textId="77777777" w:rsidR="00796B76" w:rsidRDefault="00E657F5" w:rsidP="00876477">
      <w:pPr>
        <w:pStyle w:val="BodyText"/>
        <w:numPr>
          <w:ilvl w:val="0"/>
          <w:numId w:val="9"/>
        </w:numPr>
      </w:pPr>
      <w:r>
        <w:t xml:space="preserve">Walls </w:t>
      </w:r>
      <w:r w:rsidR="00054EEB" w:rsidRPr="00054EEB">
        <w:t xml:space="preserve">irrespective of height supporting or necessary for the support of </w:t>
      </w:r>
      <w:r w:rsidR="00807337">
        <w:t>highways</w:t>
      </w:r>
      <w:r w:rsidR="00054EEB" w:rsidRPr="00054EEB">
        <w:t xml:space="preserve"> and </w:t>
      </w:r>
    </w:p>
    <w:p w14:paraId="74D46520" w14:textId="77777777" w:rsidR="00054EEB" w:rsidRDefault="00E657F5" w:rsidP="00876477">
      <w:pPr>
        <w:pStyle w:val="BodyText"/>
        <w:numPr>
          <w:ilvl w:val="0"/>
          <w:numId w:val="9"/>
        </w:numPr>
      </w:pPr>
      <w:r>
        <w:t>Walls</w:t>
      </w:r>
      <w:r w:rsidRPr="00054EEB">
        <w:t xml:space="preserve"> irrespective of height supporting land or property above </w:t>
      </w:r>
      <w:r w:rsidR="00F35782">
        <w:t>highways</w:t>
      </w:r>
      <w:r w:rsidRPr="00054EEB">
        <w:t xml:space="preserve"> and within 3.65 metres of the edge of the </w:t>
      </w:r>
      <w:r w:rsidR="00807337">
        <w:t>highway</w:t>
      </w:r>
      <w:r w:rsidRPr="00054EEB">
        <w:t>.</w:t>
      </w:r>
    </w:p>
    <w:p w14:paraId="13386980" w14:textId="77777777" w:rsidR="004355DA" w:rsidRPr="004355DA" w:rsidRDefault="00E657F5" w:rsidP="004355DA">
      <w:r>
        <w:t xml:space="preserve">Highway </w:t>
      </w:r>
      <w:r w:rsidR="00D65120">
        <w:t>S</w:t>
      </w:r>
      <w:r>
        <w:t>tructures</w:t>
      </w:r>
      <w:r w:rsidRPr="004355DA">
        <w:t xml:space="preserve"> will be subject to Approval in Principle (AIP) agreements, commuted </w:t>
      </w:r>
      <w:r w:rsidR="00AA50C0" w:rsidRPr="004355DA">
        <w:t>sums,</w:t>
      </w:r>
      <w:r w:rsidRPr="004355DA">
        <w:t xml:space="preserve"> and associated easements in addition to a Section 38 Agreement of the Highways Act 1980</w:t>
      </w:r>
      <w:r w:rsidR="003D2793">
        <w:t xml:space="preserve"> and Structures Agreement in connection with their adoption</w:t>
      </w:r>
      <w:r w:rsidR="00D65120">
        <w:t>.</w:t>
      </w:r>
      <w:r w:rsidR="003D2793">
        <w:t xml:space="preserve"> </w:t>
      </w:r>
    </w:p>
    <w:p w14:paraId="76340420" w14:textId="77777777" w:rsidR="004355DA" w:rsidRPr="00054EEB" w:rsidRDefault="00E657F5" w:rsidP="004355DA">
      <w:pPr>
        <w:pStyle w:val="BodyText"/>
      </w:pPr>
      <w:r>
        <w:t xml:space="preserve"> </w:t>
      </w:r>
    </w:p>
    <w:p w14:paraId="448F3B68" w14:textId="77777777" w:rsidR="00C50693" w:rsidRPr="00887B46" w:rsidRDefault="00C50693" w:rsidP="00887B46">
      <w:pPr>
        <w:pStyle w:val="BodyText"/>
      </w:pPr>
    </w:p>
    <w:p w14:paraId="45E6E151" w14:textId="77777777" w:rsidR="00630C24" w:rsidRPr="00AA68FD" w:rsidRDefault="00630C24" w:rsidP="00AA68FD">
      <w:pPr>
        <w:pStyle w:val="BodyText"/>
      </w:pPr>
    </w:p>
    <w:p w14:paraId="455EC6C7" w14:textId="77777777" w:rsidR="008D24B2" w:rsidRPr="008D24B2" w:rsidRDefault="008D24B2" w:rsidP="008D24B2">
      <w:pPr>
        <w:pStyle w:val="BodyText"/>
        <w:rPr>
          <w:lang w:eastAsia="en-GB"/>
        </w:rPr>
      </w:pPr>
    </w:p>
    <w:p w14:paraId="5FFC9EC7" w14:textId="77777777" w:rsidR="00B50E80" w:rsidRPr="00B50E80" w:rsidRDefault="00B50E80" w:rsidP="00B93B4F">
      <w:pPr>
        <w:pStyle w:val="BodyText"/>
        <w:rPr>
          <w:b/>
          <w:bCs/>
        </w:rPr>
      </w:pPr>
    </w:p>
    <w:p w14:paraId="79641401" w14:textId="77777777" w:rsidR="00AC4F3F" w:rsidRDefault="00E657F5" w:rsidP="00AC4F3F">
      <w:pPr>
        <w:pStyle w:val="Heading1"/>
      </w:pPr>
      <w:bookmarkStart w:id="16" w:name="_Toc123738091"/>
      <w:r>
        <w:t>Cement, Mortar and Grout</w:t>
      </w:r>
      <w:bookmarkEnd w:id="16"/>
    </w:p>
    <w:p w14:paraId="0F6050CB" w14:textId="77777777" w:rsidR="001D1D41" w:rsidRDefault="00E657F5" w:rsidP="00B45309">
      <w:pPr>
        <w:pStyle w:val="Heading2"/>
      </w:pPr>
      <w:bookmarkStart w:id="17" w:name="_Toc87942654"/>
      <w:r>
        <w:t>General</w:t>
      </w:r>
      <w:bookmarkEnd w:id="17"/>
    </w:p>
    <w:p w14:paraId="7D083AE8" w14:textId="77777777" w:rsidR="001D1D41" w:rsidRPr="001D1D41" w:rsidRDefault="00E657F5" w:rsidP="001D1D41">
      <w:pPr>
        <w:pStyle w:val="BodyText"/>
      </w:pPr>
      <w:r w:rsidRPr="001D1D41">
        <w:t>Unless otherwise stated, any reference to a concrete mix in this Specification shall be deemed to be a reference to concrete to this Clause.</w:t>
      </w:r>
    </w:p>
    <w:p w14:paraId="3FC8DB34" w14:textId="77777777" w:rsidR="001D1D41" w:rsidRPr="001D1D41" w:rsidRDefault="00E657F5" w:rsidP="001D1D41">
      <w:pPr>
        <w:pStyle w:val="BodyText"/>
      </w:pPr>
      <w:r w:rsidRPr="001D1D41">
        <w:t xml:space="preserve">When a concrete mix is </w:t>
      </w:r>
      <w:r w:rsidR="00B274C4" w:rsidRPr="001D1D41">
        <w:t>specified,</w:t>
      </w:r>
      <w:r w:rsidRPr="001D1D41">
        <w:t xml:space="preserve"> it shall be a mix complying with BS</w:t>
      </w:r>
      <w:r w:rsidR="00E254DE">
        <w:t xml:space="preserve"> </w:t>
      </w:r>
      <w:r w:rsidRPr="001D1D41">
        <w:t>5328 and may be purchased from an approved ready-mixed concrete supplier or site batched and mixed.</w:t>
      </w:r>
    </w:p>
    <w:p w14:paraId="178E3CB9" w14:textId="77777777" w:rsidR="001D1D41" w:rsidRDefault="00E657F5" w:rsidP="008F5F98">
      <w:pPr>
        <w:pStyle w:val="Heading2"/>
      </w:pPr>
      <w:bookmarkStart w:id="18" w:name="_Toc87942655"/>
      <w:r>
        <w:t>Materials</w:t>
      </w:r>
      <w:bookmarkEnd w:id="18"/>
    </w:p>
    <w:p w14:paraId="46BC4F16" w14:textId="77777777" w:rsidR="001D1D41" w:rsidRPr="001D1D41" w:rsidRDefault="00E657F5" w:rsidP="001D1D41">
      <w:pPr>
        <w:pStyle w:val="BodyText"/>
      </w:pPr>
      <w:r w:rsidRPr="001D1D41">
        <w:t xml:space="preserve">Cement for Concrete Cement shall comply with BS EN 197-1:2011 and shall comprise ordinary portland cement to BS197-1:2011 combined with ground granulated blast furnace slag to BS EN 15167-1:2006 or combined with pulverised-fuel ash to BS EN 450-1:2012 as permitted in BS </w:t>
      </w:r>
      <w:r w:rsidR="00AA50C0" w:rsidRPr="001D1D41">
        <w:t>8500: -</w:t>
      </w:r>
      <w:r w:rsidRPr="001D1D41">
        <w:t>2:2015 for each concrete mix.</w:t>
      </w:r>
    </w:p>
    <w:p w14:paraId="4132DC94" w14:textId="77777777" w:rsidR="001D1D41" w:rsidRPr="001D1D41" w:rsidRDefault="00E657F5" w:rsidP="001D1D41">
      <w:pPr>
        <w:pStyle w:val="BodyText"/>
      </w:pPr>
      <w:r w:rsidRPr="001D1D41">
        <w:t>Suitable provision for the storage of cement and for its protection against atmospheric influences shall be made by the Developer to the satisfaction of the Engineer.</w:t>
      </w:r>
    </w:p>
    <w:p w14:paraId="5744EE95" w14:textId="77777777" w:rsidR="001D1D41" w:rsidRPr="001D1D41" w:rsidRDefault="00E657F5" w:rsidP="001D1D41">
      <w:pPr>
        <w:pStyle w:val="BodyText"/>
      </w:pPr>
      <w:r w:rsidRPr="001D1D41">
        <w:t>The use of bulk cement will be permitted only after the Engineer has approved:</w:t>
      </w:r>
    </w:p>
    <w:p w14:paraId="0A81BBA6" w14:textId="77777777" w:rsidR="001D1D41" w:rsidRPr="001D1D41" w:rsidRDefault="00E657F5" w:rsidP="001D1D41">
      <w:pPr>
        <w:pStyle w:val="Bullet"/>
      </w:pPr>
      <w:r w:rsidRPr="001D1D41">
        <w:t>The method of transport and containers to be used</w:t>
      </w:r>
      <w:r w:rsidR="00151AEF">
        <w:t>.</w:t>
      </w:r>
    </w:p>
    <w:p w14:paraId="2E0889E6" w14:textId="77777777" w:rsidR="001D1D41" w:rsidRPr="001D1D41" w:rsidRDefault="00E657F5" w:rsidP="001D1D41">
      <w:pPr>
        <w:pStyle w:val="Bullet"/>
      </w:pPr>
      <w:r w:rsidRPr="001D1D41">
        <w:t>The method of discharge and storage.</w:t>
      </w:r>
    </w:p>
    <w:p w14:paraId="189F180B" w14:textId="77777777" w:rsidR="001D1D41" w:rsidRPr="001D1D41" w:rsidRDefault="00E657F5" w:rsidP="001D1D41">
      <w:pPr>
        <w:pStyle w:val="BodyText"/>
      </w:pPr>
      <w:r w:rsidRPr="001D1D41">
        <w:t>Aggregate for concrete shall be obtained from sources to be approved by the Engineer and shall comply with BS EN 12620:2002.</w:t>
      </w:r>
    </w:p>
    <w:p w14:paraId="2A6A2F85" w14:textId="77777777" w:rsidR="001D1D41" w:rsidRPr="001D1D41" w:rsidRDefault="00E657F5" w:rsidP="001D1D41">
      <w:pPr>
        <w:pStyle w:val="BodyText"/>
      </w:pPr>
      <w:r w:rsidRPr="001D1D41">
        <w:t xml:space="preserve">Only fresh, clean water from a public utility undertaking mains supply or other source approved by the Engineer shall be used for mixing cement mortar, </w:t>
      </w:r>
      <w:r w:rsidR="00AA50C0" w:rsidRPr="001D1D41">
        <w:t>grout,</w:t>
      </w:r>
      <w:r w:rsidRPr="001D1D41">
        <w:t xml:space="preserve"> or concrete.  A Developer not using a public utility undertaking water supply will be required to provide, at three monthly intervals, a certificate of compliance with BS EN 1008, water being sampled and tested by a testing organisation approved by the Engineer.</w:t>
      </w:r>
    </w:p>
    <w:p w14:paraId="46ADCCC5" w14:textId="77777777" w:rsidR="001D1D41" w:rsidRPr="00EA1E8B" w:rsidRDefault="00E657F5" w:rsidP="008F5F98">
      <w:pPr>
        <w:pStyle w:val="Heading2"/>
      </w:pPr>
      <w:bookmarkStart w:id="19" w:name="_Toc87942656"/>
      <w:r>
        <w:t>Mortar</w:t>
      </w:r>
      <w:bookmarkEnd w:id="19"/>
    </w:p>
    <w:p w14:paraId="14957809" w14:textId="77777777" w:rsidR="001D1D41" w:rsidRPr="001D1D41" w:rsidRDefault="00E657F5" w:rsidP="001D1D41">
      <w:pPr>
        <w:pStyle w:val="BodyText"/>
      </w:pPr>
      <w:r w:rsidRPr="001D1D41">
        <w:t>Cement mortar shall consist of Ordinary Portland Cement complying with BS EN 197-1:2011 and sand complying with BS EN 13139:2002 mixed in the following nominal volume proportions:</w:t>
      </w:r>
    </w:p>
    <w:p w14:paraId="452ABC46" w14:textId="77777777" w:rsidR="001D1D41" w:rsidRPr="001D1D41" w:rsidRDefault="00E657F5" w:rsidP="001D1D41">
      <w:pPr>
        <w:pStyle w:val="BodyText"/>
      </w:pPr>
      <w:r w:rsidRPr="001D1D41">
        <w:t xml:space="preserve"> Where used for pipe joints: 1 part of cement to 3 parts of sand.</w:t>
      </w:r>
    </w:p>
    <w:p w14:paraId="13859C74" w14:textId="77777777" w:rsidR="001D1D41" w:rsidRPr="001D1D41" w:rsidRDefault="00E657F5" w:rsidP="001D1D41">
      <w:pPr>
        <w:pStyle w:val="Bullet"/>
      </w:pPr>
      <w:r w:rsidRPr="001D1D41">
        <w:t>For rendering, fillets, grouting and margins: 1 part of cement to 2 parts of sand.</w:t>
      </w:r>
    </w:p>
    <w:p w14:paraId="07CFCB83" w14:textId="77777777" w:rsidR="001D1D41" w:rsidRPr="00E92D39" w:rsidRDefault="00E657F5" w:rsidP="001D1D41">
      <w:pPr>
        <w:pStyle w:val="Bullet"/>
      </w:pPr>
      <w:r w:rsidRPr="001D1D41">
        <w:t xml:space="preserve">For brickwork, </w:t>
      </w:r>
      <w:r w:rsidR="00AA50C0" w:rsidRPr="001D1D41">
        <w:t>kerbs,</w:t>
      </w:r>
      <w:r w:rsidRPr="001D1D41">
        <w:t xml:space="preserve"> and manholes: 1 part of cement to 3 parts of sand.</w:t>
      </w:r>
    </w:p>
    <w:p w14:paraId="49BF0B00" w14:textId="77777777" w:rsidR="001D1D41" w:rsidRPr="001D1D41" w:rsidRDefault="00E657F5" w:rsidP="001D1D41">
      <w:pPr>
        <w:pStyle w:val="BodyText"/>
      </w:pPr>
      <w:r w:rsidRPr="001D1D41">
        <w:t>Polyester resin bedding mortars shall be based on thermosetting organic polymers consisting of stable fluid and/or solid components which on mixing react chemically to form a hardened solid mass.</w:t>
      </w:r>
    </w:p>
    <w:p w14:paraId="4115D17F" w14:textId="77777777" w:rsidR="001D1D41" w:rsidRPr="001D1D41" w:rsidRDefault="00E657F5" w:rsidP="001D1D41">
      <w:pPr>
        <w:pStyle w:val="BodyText"/>
      </w:pPr>
      <w:r w:rsidRPr="001D1D41">
        <w:t>Fillers or aggregates to be incorporated in accordance with the manufacturer's recommendations, to extend or modify the properties of the resinous composition, shall be pre-bagged, dry and factory proportioned.  The addition of other fillers or aggregates shall not be permitted.</w:t>
      </w:r>
    </w:p>
    <w:p w14:paraId="7D12CE73" w14:textId="77777777" w:rsidR="001D1D41" w:rsidRPr="001D1D41" w:rsidRDefault="00E657F5" w:rsidP="001D1D41">
      <w:pPr>
        <w:pStyle w:val="BodyText"/>
      </w:pPr>
      <w:r w:rsidRPr="001D1D41">
        <w:t xml:space="preserve">Mixing, </w:t>
      </w:r>
      <w:r w:rsidR="00AA50C0" w:rsidRPr="001D1D41">
        <w:t>placing,</w:t>
      </w:r>
      <w:r w:rsidRPr="001D1D41">
        <w:t xml:space="preserve"> and curing shall be carried out in accordance with the manufacturer's written instructions.</w:t>
      </w:r>
    </w:p>
    <w:p w14:paraId="5586FF65" w14:textId="77777777" w:rsidR="001D1D41" w:rsidRPr="001D1D41" w:rsidRDefault="00E657F5" w:rsidP="001D1D41">
      <w:pPr>
        <w:pStyle w:val="BodyText"/>
      </w:pPr>
      <w:r w:rsidRPr="001D1D41">
        <w:t>All mortar shall be conveyed fresh to the work as required for use.</w:t>
      </w:r>
    </w:p>
    <w:p w14:paraId="3700BC01" w14:textId="77777777" w:rsidR="001D1D41" w:rsidRPr="001D1D41" w:rsidRDefault="00E657F5" w:rsidP="001D1D41">
      <w:pPr>
        <w:pStyle w:val="BodyText"/>
      </w:pPr>
      <w:r w:rsidRPr="001D1D41">
        <w:t>No mortar shall be used or re-mixed for use after it has set or commenced to set.</w:t>
      </w:r>
    </w:p>
    <w:p w14:paraId="323944EF" w14:textId="77777777" w:rsidR="001D1D41" w:rsidRDefault="00E657F5" w:rsidP="008F5F98">
      <w:pPr>
        <w:pStyle w:val="Heading2"/>
      </w:pPr>
      <w:bookmarkStart w:id="20" w:name="_Toc87942657"/>
      <w:r>
        <w:t>Cement Grout</w:t>
      </w:r>
      <w:bookmarkEnd w:id="20"/>
    </w:p>
    <w:p w14:paraId="5A16651B" w14:textId="77777777" w:rsidR="001D1D41" w:rsidRDefault="00E657F5" w:rsidP="001D1D41">
      <w:pPr>
        <w:pStyle w:val="BodyText"/>
      </w:pPr>
      <w:r w:rsidRPr="001D1D41">
        <w:t>Cement Grout shall consist of Portland cement and water thoroughly mixed in the proportion of one part by volume of cement to one and a half by volume of water.  The grout shall be used within one hour of mixing.  Where required by the Engineer, sulphate resisting Portland cement shall be used.</w:t>
      </w:r>
    </w:p>
    <w:p w14:paraId="2831A64F" w14:textId="77777777" w:rsidR="00AC3BD2" w:rsidRPr="00AC3BD2" w:rsidRDefault="00E657F5" w:rsidP="008F5F98">
      <w:pPr>
        <w:pStyle w:val="Heading2"/>
      </w:pPr>
      <w:r>
        <w:t>Steel</w:t>
      </w:r>
    </w:p>
    <w:p w14:paraId="13C5F4F3" w14:textId="77777777" w:rsidR="00AC3BD2" w:rsidRPr="00AC3BD2" w:rsidRDefault="00E657F5" w:rsidP="00AC3BD2">
      <w:pPr>
        <w:pStyle w:val="BodyText"/>
      </w:pPr>
      <w:r w:rsidRPr="00AC3BD2">
        <w:t>All steel used in reinforced concrete shall comply with the requirements of the appropriate Reinforcement British Standard as set out below:</w:t>
      </w: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150"/>
      </w:tblGrid>
      <w:tr w:rsidR="00B933CA" w14:paraId="057CEA58" w14:textId="77777777" w:rsidTr="00232C05">
        <w:trPr>
          <w:jc w:val="center"/>
        </w:trPr>
        <w:tc>
          <w:tcPr>
            <w:tcW w:w="3690" w:type="dxa"/>
            <w:tcBorders>
              <w:bottom w:val="single" w:sz="4" w:space="0" w:color="auto"/>
            </w:tcBorders>
            <w:shd w:val="clear" w:color="auto" w:fill="B4C6E7"/>
          </w:tcPr>
          <w:p w14:paraId="2C52D65C" w14:textId="77777777" w:rsidR="00AC3BD2" w:rsidRPr="00B42A9D" w:rsidRDefault="00E657F5" w:rsidP="00B42A9D">
            <w:pPr>
              <w:spacing w:after="0"/>
              <w:rPr>
                <w:rFonts w:cs="Arial"/>
                <w:b/>
                <w:bCs/>
                <w:iCs/>
                <w:sz w:val="20"/>
                <w:szCs w:val="20"/>
              </w:rPr>
            </w:pPr>
            <w:r w:rsidRPr="00B42A9D">
              <w:rPr>
                <w:rFonts w:cs="Arial"/>
                <w:b/>
                <w:bCs/>
                <w:iCs/>
                <w:sz w:val="20"/>
                <w:szCs w:val="20"/>
              </w:rPr>
              <w:t>Type</w:t>
            </w:r>
          </w:p>
        </w:tc>
        <w:tc>
          <w:tcPr>
            <w:tcW w:w="3150" w:type="dxa"/>
            <w:tcBorders>
              <w:bottom w:val="single" w:sz="4" w:space="0" w:color="auto"/>
            </w:tcBorders>
            <w:shd w:val="clear" w:color="auto" w:fill="B4C6E7"/>
          </w:tcPr>
          <w:p w14:paraId="00F6573A" w14:textId="77777777" w:rsidR="00AC3BD2" w:rsidRPr="00B42A9D" w:rsidRDefault="00E657F5" w:rsidP="00B42A9D">
            <w:pPr>
              <w:spacing w:after="0"/>
              <w:rPr>
                <w:rFonts w:cs="Arial"/>
                <w:b/>
                <w:bCs/>
                <w:iCs/>
                <w:sz w:val="20"/>
                <w:szCs w:val="20"/>
              </w:rPr>
            </w:pPr>
            <w:r w:rsidRPr="00B42A9D">
              <w:rPr>
                <w:rFonts w:cs="Arial"/>
                <w:b/>
                <w:bCs/>
                <w:iCs/>
                <w:sz w:val="20"/>
                <w:szCs w:val="20"/>
              </w:rPr>
              <w:t>BS</w:t>
            </w:r>
          </w:p>
        </w:tc>
      </w:tr>
      <w:tr w:rsidR="00B933CA" w14:paraId="2603FE19" w14:textId="77777777" w:rsidTr="00232C05">
        <w:trPr>
          <w:jc w:val="center"/>
        </w:trPr>
        <w:tc>
          <w:tcPr>
            <w:tcW w:w="3690" w:type="dxa"/>
            <w:shd w:val="clear" w:color="auto" w:fill="FBE4D5"/>
          </w:tcPr>
          <w:p w14:paraId="2436F422" w14:textId="77777777" w:rsidR="00AC3BD2" w:rsidRPr="00B42A9D" w:rsidRDefault="00E657F5" w:rsidP="00B42A9D">
            <w:pPr>
              <w:spacing w:after="0"/>
              <w:rPr>
                <w:rFonts w:cs="Arial"/>
                <w:iCs/>
                <w:sz w:val="20"/>
                <w:szCs w:val="20"/>
              </w:rPr>
            </w:pPr>
            <w:r w:rsidRPr="00B42A9D">
              <w:rPr>
                <w:rFonts w:cs="Arial"/>
                <w:iCs/>
                <w:sz w:val="20"/>
                <w:szCs w:val="20"/>
              </w:rPr>
              <w:t>Hot Rolled Steel Bars</w:t>
            </w:r>
          </w:p>
        </w:tc>
        <w:tc>
          <w:tcPr>
            <w:tcW w:w="3150" w:type="dxa"/>
            <w:shd w:val="clear" w:color="auto" w:fill="FBE4D5"/>
          </w:tcPr>
          <w:p w14:paraId="6B408A3C" w14:textId="77777777" w:rsidR="00AC3BD2" w:rsidRPr="00B42A9D" w:rsidRDefault="00E657F5" w:rsidP="00B42A9D">
            <w:pPr>
              <w:spacing w:after="0"/>
              <w:rPr>
                <w:rFonts w:cs="Arial"/>
                <w:iCs/>
                <w:sz w:val="20"/>
                <w:szCs w:val="20"/>
              </w:rPr>
            </w:pPr>
            <w:r w:rsidRPr="00B42A9D">
              <w:rPr>
                <w:rFonts w:cs="Arial"/>
                <w:iCs/>
                <w:sz w:val="20"/>
                <w:szCs w:val="20"/>
              </w:rPr>
              <w:t>4449 (B500B or C)</w:t>
            </w:r>
          </w:p>
        </w:tc>
      </w:tr>
      <w:tr w:rsidR="00B933CA" w14:paraId="3E47B6B0" w14:textId="77777777" w:rsidTr="00232C05">
        <w:trPr>
          <w:jc w:val="center"/>
        </w:trPr>
        <w:tc>
          <w:tcPr>
            <w:tcW w:w="3690" w:type="dxa"/>
            <w:shd w:val="clear" w:color="auto" w:fill="FBE4D5"/>
          </w:tcPr>
          <w:p w14:paraId="0237BC4F" w14:textId="77777777" w:rsidR="00AC3BD2" w:rsidRPr="00B42A9D" w:rsidRDefault="00E657F5" w:rsidP="00B42A9D">
            <w:pPr>
              <w:spacing w:after="0"/>
              <w:rPr>
                <w:rFonts w:cs="Arial"/>
                <w:iCs/>
                <w:sz w:val="20"/>
                <w:szCs w:val="20"/>
              </w:rPr>
            </w:pPr>
            <w:r w:rsidRPr="00B42A9D">
              <w:rPr>
                <w:rFonts w:cs="Arial"/>
                <w:iCs/>
                <w:sz w:val="20"/>
                <w:szCs w:val="20"/>
              </w:rPr>
              <w:t>Cold Worked Steel Bars</w:t>
            </w:r>
          </w:p>
        </w:tc>
        <w:tc>
          <w:tcPr>
            <w:tcW w:w="3150" w:type="dxa"/>
            <w:shd w:val="clear" w:color="auto" w:fill="FBE4D5"/>
          </w:tcPr>
          <w:p w14:paraId="2F3FD128" w14:textId="77777777" w:rsidR="00AC3BD2" w:rsidRPr="00B42A9D" w:rsidRDefault="00E657F5" w:rsidP="00B42A9D">
            <w:pPr>
              <w:spacing w:after="0"/>
              <w:rPr>
                <w:rFonts w:cs="Arial"/>
                <w:iCs/>
                <w:sz w:val="20"/>
                <w:szCs w:val="20"/>
              </w:rPr>
            </w:pPr>
            <w:r w:rsidRPr="00B42A9D">
              <w:rPr>
                <w:rFonts w:cs="Arial"/>
                <w:iCs/>
                <w:sz w:val="20"/>
                <w:szCs w:val="20"/>
              </w:rPr>
              <w:t>4449 (B500B or C)</w:t>
            </w:r>
          </w:p>
        </w:tc>
      </w:tr>
      <w:tr w:rsidR="00B933CA" w14:paraId="7916E325" w14:textId="77777777" w:rsidTr="00232C05">
        <w:trPr>
          <w:jc w:val="center"/>
        </w:trPr>
        <w:tc>
          <w:tcPr>
            <w:tcW w:w="3690" w:type="dxa"/>
            <w:shd w:val="clear" w:color="auto" w:fill="FBE4D5"/>
          </w:tcPr>
          <w:p w14:paraId="60384F88" w14:textId="77777777" w:rsidR="00AC3BD2" w:rsidRPr="00B42A9D" w:rsidRDefault="00E657F5" w:rsidP="00B42A9D">
            <w:pPr>
              <w:spacing w:after="0"/>
              <w:rPr>
                <w:rFonts w:cs="Arial"/>
                <w:iCs/>
                <w:sz w:val="20"/>
                <w:szCs w:val="20"/>
              </w:rPr>
            </w:pPr>
            <w:r w:rsidRPr="00B42A9D">
              <w:rPr>
                <w:rFonts w:cs="Arial"/>
                <w:iCs/>
                <w:sz w:val="20"/>
                <w:szCs w:val="20"/>
              </w:rPr>
              <w:t>Hard Drawn Mild Steel Wire</w:t>
            </w:r>
          </w:p>
        </w:tc>
        <w:tc>
          <w:tcPr>
            <w:tcW w:w="3150" w:type="dxa"/>
            <w:shd w:val="clear" w:color="auto" w:fill="FBE4D5"/>
          </w:tcPr>
          <w:p w14:paraId="6B500D30" w14:textId="77777777" w:rsidR="00AC3BD2" w:rsidRPr="00B42A9D" w:rsidRDefault="00E657F5" w:rsidP="00B42A9D">
            <w:pPr>
              <w:spacing w:after="0"/>
              <w:rPr>
                <w:rFonts w:cs="Arial"/>
                <w:iCs/>
                <w:sz w:val="20"/>
                <w:szCs w:val="20"/>
              </w:rPr>
            </w:pPr>
            <w:r w:rsidRPr="00B42A9D">
              <w:rPr>
                <w:rFonts w:cs="Arial"/>
                <w:iCs/>
                <w:sz w:val="20"/>
                <w:szCs w:val="20"/>
              </w:rPr>
              <w:t>4482</w:t>
            </w:r>
          </w:p>
        </w:tc>
      </w:tr>
      <w:tr w:rsidR="00B933CA" w14:paraId="5495E65D" w14:textId="77777777" w:rsidTr="00232C05">
        <w:trPr>
          <w:jc w:val="center"/>
        </w:trPr>
        <w:tc>
          <w:tcPr>
            <w:tcW w:w="3690" w:type="dxa"/>
            <w:shd w:val="clear" w:color="auto" w:fill="FBE4D5"/>
          </w:tcPr>
          <w:p w14:paraId="7E14F441" w14:textId="77777777" w:rsidR="00AC3BD2" w:rsidRPr="00B42A9D" w:rsidRDefault="00E657F5" w:rsidP="00B42A9D">
            <w:pPr>
              <w:spacing w:after="0"/>
              <w:rPr>
                <w:rFonts w:cs="Arial"/>
                <w:iCs/>
                <w:sz w:val="20"/>
                <w:szCs w:val="20"/>
              </w:rPr>
            </w:pPr>
            <w:r w:rsidRPr="00B42A9D">
              <w:rPr>
                <w:rFonts w:cs="Arial"/>
                <w:iCs/>
                <w:sz w:val="20"/>
                <w:szCs w:val="20"/>
              </w:rPr>
              <w:t>Steel Fabric</w:t>
            </w:r>
          </w:p>
        </w:tc>
        <w:tc>
          <w:tcPr>
            <w:tcW w:w="3150" w:type="dxa"/>
            <w:shd w:val="clear" w:color="auto" w:fill="FBE4D5"/>
          </w:tcPr>
          <w:p w14:paraId="04EB5E86" w14:textId="77777777" w:rsidR="00AC3BD2" w:rsidRPr="00B42A9D" w:rsidRDefault="00E657F5" w:rsidP="00B42A9D">
            <w:pPr>
              <w:spacing w:after="0"/>
              <w:rPr>
                <w:rFonts w:cs="Arial"/>
                <w:iCs/>
                <w:sz w:val="20"/>
                <w:szCs w:val="20"/>
              </w:rPr>
            </w:pPr>
            <w:r w:rsidRPr="00B42A9D">
              <w:rPr>
                <w:rFonts w:cs="Arial"/>
                <w:iCs/>
                <w:sz w:val="20"/>
                <w:szCs w:val="20"/>
              </w:rPr>
              <w:t>4483</w:t>
            </w:r>
          </w:p>
        </w:tc>
      </w:tr>
    </w:tbl>
    <w:p w14:paraId="15B353A8" w14:textId="77777777" w:rsidR="003051F5" w:rsidRDefault="00E657F5" w:rsidP="00B42A9D">
      <w:pPr>
        <w:pStyle w:val="Caption"/>
        <w:jc w:val="center"/>
      </w:pPr>
      <w:bookmarkStart w:id="21" w:name="_Toc119569289"/>
      <w:bookmarkStart w:id="22" w:name="_Toc120010309"/>
      <w:r>
        <w:t xml:space="preserve">Table </w:t>
      </w:r>
      <w:r w:rsidR="00737389">
        <w:fldChar w:fldCharType="begin"/>
      </w:r>
      <w:r>
        <w:instrText xml:space="preserve"> SEQ Table \* ARABIC </w:instrText>
      </w:r>
      <w:r w:rsidR="00737389">
        <w:fldChar w:fldCharType="separate"/>
      </w:r>
      <w:r w:rsidR="00737389">
        <w:rPr>
          <w:noProof/>
        </w:rPr>
        <w:t>2</w:t>
      </w:r>
      <w:r w:rsidR="00737389">
        <w:rPr>
          <w:noProof/>
        </w:rPr>
        <w:fldChar w:fldCharType="end"/>
      </w:r>
      <w:r>
        <w:t xml:space="preserve"> - British Standards for steel reinforcement</w:t>
      </w:r>
      <w:bookmarkEnd w:id="21"/>
      <w:bookmarkEnd w:id="22"/>
    </w:p>
    <w:p w14:paraId="1B9D0DA7" w14:textId="77777777" w:rsidR="00AC3BD2" w:rsidRDefault="00E657F5" w:rsidP="00AC3BD2">
      <w:pPr>
        <w:pStyle w:val="BodyText"/>
      </w:pPr>
      <w:r w:rsidRPr="00AC3BD2">
        <w:t>Steel fabric reinforcement shall be welded at the intersections and delivered to the site in flat mats.</w:t>
      </w:r>
    </w:p>
    <w:p w14:paraId="73218D4A" w14:textId="77777777" w:rsidR="00AC3BD2" w:rsidRDefault="00E657F5" w:rsidP="008F5F98">
      <w:pPr>
        <w:pStyle w:val="Heading2"/>
      </w:pPr>
      <w:r>
        <w:t>Tying Wire</w:t>
      </w:r>
    </w:p>
    <w:p w14:paraId="693656FA" w14:textId="77777777" w:rsidR="00AC3BD2" w:rsidRPr="00AC3BD2" w:rsidRDefault="00E657F5" w:rsidP="00AC3BD2">
      <w:pPr>
        <w:pStyle w:val="BodyText"/>
      </w:pPr>
      <w:r w:rsidRPr="003A2227">
        <w:t>Tying wire for steel reinforcement shall be 1.6mm diameter soft annealed iron wire for unexposed surfaces and 1.2mm diameter stainless steel wire for exposed surfaces and throughout bridge decks.</w:t>
      </w:r>
    </w:p>
    <w:p w14:paraId="64B3A1D7" w14:textId="77777777" w:rsidR="008A2CC6" w:rsidRDefault="00E657F5" w:rsidP="008F5F98">
      <w:pPr>
        <w:pStyle w:val="Heading2"/>
      </w:pPr>
      <w:bookmarkStart w:id="23" w:name="_Toc87942660"/>
      <w:r>
        <w:t>Cover Blocks and Spacers for Reinforcement</w:t>
      </w:r>
      <w:bookmarkEnd w:id="23"/>
    </w:p>
    <w:p w14:paraId="5A5499F5" w14:textId="77777777" w:rsidR="00220EA6" w:rsidRPr="00E92D39" w:rsidRDefault="00E657F5" w:rsidP="00220EA6">
      <w:pPr>
        <w:pStyle w:val="BodyText"/>
      </w:pPr>
      <w:r w:rsidRPr="00220EA6">
        <w:t>Cover blocks and spacers shall be as small as possible consistent with their purpose, of a shape acceptable to the Engineer and designed so that they will not overturn when the Reinforcement concrete is placed.</w:t>
      </w:r>
    </w:p>
    <w:p w14:paraId="7AA33892" w14:textId="77777777" w:rsidR="00220EA6" w:rsidRPr="00220EA6" w:rsidRDefault="00E657F5" w:rsidP="00220EA6">
      <w:pPr>
        <w:pStyle w:val="BodyText"/>
      </w:pPr>
      <w:r w:rsidRPr="00220EA6">
        <w:t>Concrete cover blocks shall be manufactured with a 10mm maximum aggregate size and produced to the same strength as the surrounding concrete.  Wire cast in the block for the purpose of tying it to the reinforcement, shall comply with Clause 2.6.</w:t>
      </w:r>
    </w:p>
    <w:p w14:paraId="62BE40CF" w14:textId="77777777" w:rsidR="00220EA6" w:rsidRPr="00220EA6" w:rsidRDefault="00E657F5" w:rsidP="00220EA6">
      <w:pPr>
        <w:pStyle w:val="BodyText"/>
      </w:pPr>
      <w:r w:rsidRPr="00220EA6">
        <w:t>Other proprietary spacers may be used with the approval of the Engineer.</w:t>
      </w:r>
    </w:p>
    <w:p w14:paraId="37C92422" w14:textId="77777777" w:rsidR="00555B5D" w:rsidRDefault="00E657F5" w:rsidP="008F5F98">
      <w:pPr>
        <w:pStyle w:val="Heading2"/>
      </w:pPr>
      <w:r>
        <w:t>Formwork</w:t>
      </w:r>
    </w:p>
    <w:p w14:paraId="3A7C0B83" w14:textId="77777777" w:rsidR="00300555" w:rsidRDefault="00E657F5" w:rsidP="00300555">
      <w:pPr>
        <w:pStyle w:val="BodyText"/>
        <w:rPr>
          <w:lang w:eastAsia="en-GB"/>
        </w:rPr>
      </w:pPr>
      <w:r w:rsidRPr="00CD058A">
        <w:rPr>
          <w:lang w:eastAsia="en-GB"/>
        </w:rPr>
        <w:t>All formwork shall be rigid and tight to prevent loss of grout or mortar and to maintain the wet concrete in its correct position to the required shape and profile until hardened.  The surface finish of any exposed concrete shall be not less than that which can be obtained from formwork properly constructed from wrought thicknessed square edged boards arranged in a uniform pattern.  Internal metal ties which require to be withdrawn through hardened concrete shall not be used where either face is permanently exposed.</w:t>
      </w:r>
    </w:p>
    <w:p w14:paraId="43D26E4A" w14:textId="77777777" w:rsidR="001758C8" w:rsidRPr="00300555" w:rsidRDefault="00E657F5" w:rsidP="008F5F98">
      <w:pPr>
        <w:pStyle w:val="Heading2"/>
      </w:pPr>
      <w:bookmarkStart w:id="24" w:name="_Toc87942662"/>
      <w:r>
        <w:t>Structures</w:t>
      </w:r>
      <w:bookmarkEnd w:id="24"/>
    </w:p>
    <w:p w14:paraId="7ADDF495" w14:textId="77777777" w:rsidR="002F0565" w:rsidRPr="002F0565" w:rsidRDefault="00E657F5" w:rsidP="002F0565">
      <w:pPr>
        <w:pStyle w:val="BodyText"/>
      </w:pPr>
      <w:r w:rsidRPr="002F0565">
        <w:t>Additional scheme specific requirements may apply to structures (See Clause 1.1</w:t>
      </w:r>
      <w:r w:rsidR="004355DA">
        <w:t>6</w:t>
      </w:r>
      <w:r w:rsidRPr="002F0565">
        <w:t>).</w:t>
      </w:r>
    </w:p>
    <w:p w14:paraId="2FFCE0F4" w14:textId="77777777" w:rsidR="00AC3BD2" w:rsidRPr="00AC3BD2" w:rsidRDefault="00AC3BD2" w:rsidP="00AC3BD2">
      <w:pPr>
        <w:pStyle w:val="BodyText"/>
      </w:pPr>
    </w:p>
    <w:p w14:paraId="134ECEFA" w14:textId="77777777" w:rsidR="001D1D41" w:rsidRPr="001D1D41" w:rsidRDefault="001D1D41" w:rsidP="001D1D41">
      <w:pPr>
        <w:pStyle w:val="BodyText"/>
        <w:rPr>
          <w:lang w:eastAsia="en-GB"/>
        </w:rPr>
      </w:pPr>
    </w:p>
    <w:p w14:paraId="51671A98" w14:textId="77777777" w:rsidR="00AC4F3F" w:rsidRDefault="00E657F5" w:rsidP="00AC4F3F">
      <w:pPr>
        <w:pStyle w:val="Heading1"/>
      </w:pPr>
      <w:bookmarkStart w:id="25" w:name="_Toc123738092"/>
      <w:r>
        <w:t>Highway Drainage</w:t>
      </w:r>
      <w:bookmarkEnd w:id="25"/>
    </w:p>
    <w:p w14:paraId="7B7427E2" w14:textId="77777777" w:rsidR="00B47A2D" w:rsidRDefault="00E657F5" w:rsidP="00A02DF7">
      <w:pPr>
        <w:pStyle w:val="Heading2"/>
        <w:ind w:left="1021" w:hanging="1021"/>
      </w:pPr>
      <w:bookmarkStart w:id="26" w:name="_Toc87942664"/>
      <w:r>
        <w:t>General</w:t>
      </w:r>
      <w:bookmarkEnd w:id="26"/>
    </w:p>
    <w:p w14:paraId="322B142B" w14:textId="77777777" w:rsidR="00B47A2D" w:rsidRPr="00B47A2D" w:rsidRDefault="00E657F5" w:rsidP="00B47A2D">
      <w:pPr>
        <w:pStyle w:val="BodyText"/>
        <w:rPr>
          <w:lang w:eastAsia="en-GB"/>
        </w:rPr>
      </w:pPr>
      <w:r w:rsidRPr="00B47A2D">
        <w:rPr>
          <w:lang w:eastAsia="en-GB"/>
        </w:rPr>
        <w:t>This section of the Specification is applicable to highway drains.  For the construction of sewers, advice should be sought from United Utilities or</w:t>
      </w:r>
      <w:r w:rsidR="003051F5">
        <w:rPr>
          <w:lang w:eastAsia="en-GB"/>
        </w:rPr>
        <w:t xml:space="preserve"> other water and sewerage authority</w:t>
      </w:r>
      <w:r w:rsidRPr="00B47A2D">
        <w:rPr>
          <w:lang w:eastAsia="en-GB"/>
        </w:rPr>
        <w:t xml:space="preserve"> as appropriate.</w:t>
      </w:r>
    </w:p>
    <w:p w14:paraId="39B19442" w14:textId="77777777" w:rsidR="00E94011" w:rsidRPr="00417CFE" w:rsidRDefault="00E657F5" w:rsidP="00B47A2D">
      <w:pPr>
        <w:pStyle w:val="BodyText"/>
        <w:rPr>
          <w:color w:val="auto"/>
          <w:lang w:eastAsia="en-GB"/>
        </w:rPr>
      </w:pPr>
      <w:r w:rsidRPr="00B47A2D">
        <w:rPr>
          <w:lang w:eastAsia="en-GB"/>
        </w:rPr>
        <w:t>Concrete or precast concrete products which are exposed to sulphates in the ground or ground water should accord to the requirements of Building Research Establishment Special Digest SD1.</w:t>
      </w:r>
    </w:p>
    <w:p w14:paraId="6C916B43" w14:textId="77777777" w:rsidR="00BC46B9" w:rsidRPr="00417CFE" w:rsidRDefault="00E657F5" w:rsidP="00BC46B9">
      <w:pPr>
        <w:pStyle w:val="BodyText"/>
        <w:rPr>
          <w:b/>
          <w:bCs/>
          <w:color w:val="auto"/>
          <w:lang w:eastAsia="en-GB"/>
        </w:rPr>
      </w:pPr>
      <w:r w:rsidRPr="00417CFE">
        <w:rPr>
          <w:color w:val="auto"/>
          <w:lang w:eastAsia="en-GB"/>
        </w:rPr>
        <w:t xml:space="preserve">Proposals to divert, modify or culvert any watercourse passing through the Developer's site shall have ordinary watercourse consent from </w:t>
      </w:r>
      <w:r w:rsidR="00CA71F8">
        <w:rPr>
          <w:color w:val="auto"/>
          <w:lang w:eastAsia="en-GB"/>
        </w:rPr>
        <w:t xml:space="preserve">the </w:t>
      </w:r>
      <w:r w:rsidRPr="00417CFE">
        <w:rPr>
          <w:color w:val="auto"/>
          <w:lang w:eastAsia="en-GB"/>
        </w:rPr>
        <w:t>L</w:t>
      </w:r>
      <w:r w:rsidR="00CA71F8">
        <w:rPr>
          <w:color w:val="auto"/>
          <w:lang w:eastAsia="en-GB"/>
        </w:rPr>
        <w:t>CC</w:t>
      </w:r>
      <w:r w:rsidRPr="00417CFE">
        <w:rPr>
          <w:color w:val="auto"/>
          <w:lang w:eastAsia="en-GB"/>
        </w:rPr>
        <w:t xml:space="preserve"> Flood Risk Management Team as the Lead Local Flood Authority (LLFA) and/or an Environmental Permit for Flood Risk Activities from the Environment Agency for works to main rivers. This includes works within 8 meters from the top of the banks of any watercourse. To find more information and apply:</w:t>
      </w:r>
    </w:p>
    <w:p w14:paraId="21CCC787" w14:textId="77777777" w:rsidR="00417CFE" w:rsidRPr="00417CFE" w:rsidRDefault="00E657F5" w:rsidP="00876477">
      <w:pPr>
        <w:pStyle w:val="BodyText"/>
        <w:numPr>
          <w:ilvl w:val="0"/>
          <w:numId w:val="18"/>
        </w:numPr>
        <w:rPr>
          <w:color w:val="FF0000"/>
          <w:lang w:eastAsia="en-GB"/>
        </w:rPr>
      </w:pPr>
      <w:r w:rsidRPr="00417CFE">
        <w:rPr>
          <w:color w:val="auto"/>
          <w:lang w:eastAsia="en-GB"/>
        </w:rPr>
        <w:t xml:space="preserve">Environmental Permit for flood risk activities on main rivers: </w:t>
      </w:r>
      <w:hyperlink r:id="rId16" w:history="1">
        <w:r w:rsidRPr="00417CFE">
          <w:rPr>
            <w:rStyle w:val="Hyperlink"/>
          </w:rPr>
          <w:t>Flood risk activities: environmental permits - GOV.UK (www.gov.uk)</w:t>
        </w:r>
      </w:hyperlink>
    </w:p>
    <w:p w14:paraId="480F45F5" w14:textId="77777777" w:rsidR="00417CFE" w:rsidRPr="00417CFE" w:rsidRDefault="00E657F5" w:rsidP="00876477">
      <w:pPr>
        <w:pStyle w:val="BodyText"/>
        <w:numPr>
          <w:ilvl w:val="0"/>
          <w:numId w:val="18"/>
        </w:numPr>
        <w:rPr>
          <w:rStyle w:val="Hyperlink"/>
          <w:rFonts w:cs="Helvetica-Light"/>
          <w:color w:val="auto"/>
          <w:u w:val="none"/>
          <w:lang w:eastAsia="en-GB"/>
        </w:rPr>
      </w:pPr>
      <w:r w:rsidRPr="00417CFE">
        <w:rPr>
          <w:color w:val="auto"/>
          <w:lang w:eastAsia="en-GB"/>
        </w:rPr>
        <w:t xml:space="preserve">Ordinary Watercourse Consent: </w:t>
      </w:r>
      <w:hyperlink r:id="rId17" w:history="1">
        <w:r w:rsidRPr="00417CFE">
          <w:rPr>
            <w:rStyle w:val="Hyperlink"/>
          </w:rPr>
          <w:t>Alterations to a watercourse - Lancashire County Council</w:t>
        </w:r>
      </w:hyperlink>
      <w:r w:rsidRPr="00417CFE">
        <w:t xml:space="preserve">  </w:t>
      </w:r>
    </w:p>
    <w:p w14:paraId="0CFB9F86" w14:textId="77777777" w:rsidR="006E5C5E" w:rsidRPr="006E5C5E" w:rsidRDefault="00E657F5" w:rsidP="006E5C5E">
      <w:pPr>
        <w:pStyle w:val="BodyText"/>
        <w:rPr>
          <w:color w:val="auto"/>
          <w:lang w:eastAsia="en-GB"/>
        </w:rPr>
      </w:pPr>
      <w:r w:rsidRPr="006E5C5E">
        <w:rPr>
          <w:color w:val="auto"/>
          <w:lang w:eastAsia="en-GB"/>
        </w:rPr>
        <w:t>The Highway Authority will require evidence that the required consents and/or permits have been acquired from the relevant regulatory authority</w:t>
      </w:r>
      <w:r w:rsidR="00CF73DC">
        <w:rPr>
          <w:color w:val="auto"/>
          <w:lang w:eastAsia="en-GB"/>
        </w:rPr>
        <w:t xml:space="preserve">, which </w:t>
      </w:r>
      <w:r w:rsidR="00CF73DC" w:rsidRPr="00CF73DC">
        <w:rPr>
          <w:b/>
          <w:bCs/>
          <w:color w:val="auto"/>
          <w:u w:val="single"/>
          <w:lang w:eastAsia="en-GB"/>
        </w:rPr>
        <w:t>must</w:t>
      </w:r>
      <w:r w:rsidR="00CF73DC">
        <w:rPr>
          <w:color w:val="auto"/>
          <w:lang w:eastAsia="en-GB"/>
        </w:rPr>
        <w:t xml:space="preserve"> be acquired </w:t>
      </w:r>
      <w:r w:rsidR="00CF73DC">
        <w:rPr>
          <w:lang w:eastAsia="en-GB"/>
        </w:rPr>
        <w:t>prior to any works taking place</w:t>
      </w:r>
      <w:r w:rsidRPr="006E5C5E">
        <w:rPr>
          <w:color w:val="auto"/>
          <w:lang w:eastAsia="en-GB"/>
        </w:rPr>
        <w:t>. Failure to provide this evidence may result in the highway being unadopted.</w:t>
      </w:r>
    </w:p>
    <w:p w14:paraId="2C239127" w14:textId="77777777" w:rsidR="00B47A2D" w:rsidRPr="00B47A2D" w:rsidRDefault="00E657F5" w:rsidP="00B47A2D">
      <w:pPr>
        <w:pStyle w:val="BodyText"/>
        <w:rPr>
          <w:lang w:eastAsia="en-GB"/>
        </w:rPr>
      </w:pPr>
      <w:r w:rsidRPr="00B47A2D">
        <w:rPr>
          <w:lang w:eastAsia="en-GB"/>
        </w:rPr>
        <w:t>Highway drains shall be in roads and public areas and not within curtilages.  They shall be constructed in straight lines between manholes which shall be provided at intervals not exceeding 100 metres and at all changes of direction, gradient or at junctions with sewers or other drains.  Changes of direction shall be accommodated within manholes.</w:t>
      </w:r>
    </w:p>
    <w:p w14:paraId="6B8444DB" w14:textId="77777777" w:rsidR="00B47A2D" w:rsidRPr="00B47A2D" w:rsidRDefault="00E657F5" w:rsidP="00B47A2D">
      <w:pPr>
        <w:pStyle w:val="BodyText"/>
        <w:rPr>
          <w:lang w:eastAsia="en-GB"/>
        </w:rPr>
      </w:pPr>
      <w:r w:rsidRPr="00B47A2D">
        <w:rPr>
          <w:lang w:eastAsia="en-GB"/>
        </w:rPr>
        <w:t>The structural design of pipelines shall be carried out in accordance with the recommendations of the Building Research Station publication' Simplified Tables of External Loads on Buried Pipelines'.</w:t>
      </w:r>
    </w:p>
    <w:p w14:paraId="4C526E88" w14:textId="77777777" w:rsidR="00B47A2D" w:rsidRPr="00B47A2D" w:rsidRDefault="00E657F5" w:rsidP="00B47A2D">
      <w:pPr>
        <w:pStyle w:val="BodyText"/>
        <w:rPr>
          <w:lang w:eastAsia="en-GB"/>
        </w:rPr>
      </w:pPr>
      <w:r w:rsidRPr="00B47A2D">
        <w:rPr>
          <w:lang w:eastAsia="en-GB"/>
        </w:rPr>
        <w:t>The erection of buildings directly over highway drains intended for adoption will not be permitted.</w:t>
      </w:r>
    </w:p>
    <w:p w14:paraId="116743AE" w14:textId="77777777" w:rsidR="00B47A2D" w:rsidRPr="00B47A2D" w:rsidRDefault="00E657F5" w:rsidP="00B47A2D">
      <w:pPr>
        <w:pStyle w:val="BodyText"/>
        <w:rPr>
          <w:lang w:eastAsia="en-GB"/>
        </w:rPr>
      </w:pPr>
      <w:r w:rsidRPr="00B47A2D">
        <w:rPr>
          <w:lang w:eastAsia="en-GB"/>
        </w:rPr>
        <w:t>No highway drains less than 150mm diameter will be considered for adoption.  The area of carriageway draining to one gully shall not exceed 250 square metres.</w:t>
      </w:r>
    </w:p>
    <w:p w14:paraId="419C2FBF" w14:textId="77777777" w:rsidR="00B47A2D" w:rsidRPr="00B47A2D" w:rsidRDefault="00E657F5" w:rsidP="00B47A2D">
      <w:pPr>
        <w:pStyle w:val="BodyText"/>
        <w:rPr>
          <w:lang w:eastAsia="en-GB"/>
        </w:rPr>
      </w:pPr>
      <w:r w:rsidRPr="00B47A2D">
        <w:rPr>
          <w:lang w:eastAsia="en-GB"/>
        </w:rPr>
        <w:t>All drainage works shall be completed, and all trenches and pits backfilled before carriageway construction commences.</w:t>
      </w:r>
    </w:p>
    <w:p w14:paraId="1FE07B72" w14:textId="77777777" w:rsidR="00316994" w:rsidRDefault="00E657F5" w:rsidP="00A02DF7">
      <w:pPr>
        <w:pStyle w:val="Heading2"/>
        <w:ind w:left="1021" w:hanging="1021"/>
      </w:pPr>
      <w:bookmarkStart w:id="27" w:name="_Toc87942665"/>
      <w:r>
        <w:t>Sub-soil drainage</w:t>
      </w:r>
      <w:bookmarkEnd w:id="27"/>
    </w:p>
    <w:p w14:paraId="01EC7BB7" w14:textId="77777777" w:rsidR="00CF0891" w:rsidRPr="00CF0891" w:rsidRDefault="00E657F5" w:rsidP="00CF0891">
      <w:pPr>
        <w:pStyle w:val="BodyText"/>
        <w:rPr>
          <w:lang w:eastAsia="en-GB"/>
        </w:rPr>
      </w:pPr>
      <w:r w:rsidRPr="00CF0891">
        <w:rPr>
          <w:lang w:eastAsia="en-GB"/>
        </w:rPr>
        <w:t>Where deemed necessary by the Engineer, sub-soil drains shall be used to prevent drainage infiltration of water into footway and carriageway formation in situations, such as where roads are constructed on sidelong ground.  They shall consist of porous concrete, perforated earthenware, perforated PVC, or open-jointed pipes complying with the appropriate British Standard laid accurately to straight gradients and alignments in trenches</w:t>
      </w:r>
      <w:r w:rsidR="008F5F98">
        <w:rPr>
          <w:lang w:eastAsia="en-GB"/>
        </w:rPr>
        <w:t xml:space="preserve">. </w:t>
      </w:r>
      <w:r w:rsidRPr="00CF0891">
        <w:rPr>
          <w:lang w:eastAsia="en-GB"/>
        </w:rPr>
        <w:t>The gradients shall be to the satisfaction of the Engineer.</w:t>
      </w:r>
    </w:p>
    <w:p w14:paraId="6852D0E7" w14:textId="77777777" w:rsidR="00CF0891" w:rsidRPr="00CF0891" w:rsidRDefault="00E657F5" w:rsidP="00CF0891">
      <w:pPr>
        <w:pStyle w:val="BodyText"/>
        <w:rPr>
          <w:lang w:eastAsia="en-GB"/>
        </w:rPr>
      </w:pPr>
      <w:r w:rsidRPr="00CF0891">
        <w:rPr>
          <w:lang w:eastAsia="en-GB"/>
        </w:rPr>
        <w:t>Any sub-soil drainage provided shall not be connected directly into the highway drain but shall be properly linked with junction pipes to discharge into catchpit manholes and outfall into the surface-water drainage system.</w:t>
      </w:r>
    </w:p>
    <w:p w14:paraId="4C251B51" w14:textId="77777777" w:rsidR="00CF0891" w:rsidRPr="00CF0891" w:rsidRDefault="00E657F5" w:rsidP="00CF0891">
      <w:pPr>
        <w:pStyle w:val="BodyText"/>
        <w:rPr>
          <w:lang w:eastAsia="en-GB"/>
        </w:rPr>
      </w:pPr>
      <w:r w:rsidRPr="00CF0891">
        <w:rPr>
          <w:lang w:eastAsia="en-GB"/>
        </w:rPr>
        <w:t>Existing land drains and springs severed by the work shall be made good and similarly connected into the surface water drainage system and not into a foul sewer, subject to the approval of the Engineer.  All such connections shall be recorded, and a plan kept up to date for the Engineer's inspection.  Upon completion of the drainage works a plan shall be provided for the Engineers retention, sub-soil, cut-off, formation, and pond drains shall be filled with an approved free draining (Type B) material.  The LA Value shall be more than 50kN when tested in accordance with BS EN 13242:2002.</w:t>
      </w:r>
      <w:r>
        <w:rPr>
          <w:lang w:eastAsia="en-GB"/>
        </w:rPr>
        <w:t xml:space="preserve"> </w:t>
      </w:r>
      <w:r w:rsidRPr="00CF0891">
        <w:rPr>
          <w:lang w:eastAsia="en-GB"/>
        </w:rPr>
        <w:t>The material shall also comply with the following requirements:</w:t>
      </w:r>
    </w:p>
    <w:p w14:paraId="4695C466" w14:textId="77777777" w:rsidR="00B42A9D" w:rsidRDefault="00E657F5" w:rsidP="00B42A9D">
      <w:pPr>
        <w:pStyle w:val="Bullet"/>
        <w:numPr>
          <w:ilvl w:val="0"/>
          <w:numId w:val="1"/>
        </w:numPr>
      </w:pPr>
      <w:r w:rsidRPr="00CF0891">
        <w:t>Grading</w:t>
      </w:r>
    </w:p>
    <w:tbl>
      <w:tblPr>
        <w:tblStyle w:val="TableGrid"/>
        <w:tblW w:w="0" w:type="auto"/>
        <w:jc w:val="center"/>
        <w:tblLook w:val="04A0" w:firstRow="1" w:lastRow="0" w:firstColumn="1" w:lastColumn="0" w:noHBand="0" w:noVBand="1"/>
      </w:tblPr>
      <w:tblGrid>
        <w:gridCol w:w="1696"/>
        <w:gridCol w:w="2977"/>
      </w:tblGrid>
      <w:tr w:rsidR="00B933CA" w14:paraId="706E73A3" w14:textId="77777777" w:rsidTr="00B42A9D">
        <w:trPr>
          <w:jc w:val="center"/>
        </w:trPr>
        <w:tc>
          <w:tcPr>
            <w:tcW w:w="1696" w:type="dxa"/>
            <w:tcBorders>
              <w:bottom w:val="single" w:sz="4" w:space="0" w:color="auto"/>
            </w:tcBorders>
            <w:shd w:val="clear" w:color="auto" w:fill="B4C6E7" w:themeFill="accent1" w:themeFillTint="66"/>
          </w:tcPr>
          <w:p w14:paraId="7A9C4BF3" w14:textId="77777777" w:rsidR="00B42A9D" w:rsidRPr="00B42A9D" w:rsidRDefault="00E657F5" w:rsidP="00B42A9D">
            <w:pPr>
              <w:spacing w:after="0"/>
              <w:rPr>
                <w:rFonts w:cs="Arial"/>
                <w:b/>
                <w:bCs/>
                <w:iCs/>
                <w:sz w:val="20"/>
                <w:szCs w:val="20"/>
              </w:rPr>
            </w:pPr>
            <w:r w:rsidRPr="00B42A9D">
              <w:rPr>
                <w:rFonts w:cs="Arial"/>
                <w:b/>
                <w:bCs/>
                <w:iCs/>
                <w:sz w:val="20"/>
                <w:szCs w:val="20"/>
              </w:rPr>
              <w:t>BS Sieve Size</w:t>
            </w:r>
          </w:p>
        </w:tc>
        <w:tc>
          <w:tcPr>
            <w:tcW w:w="2977" w:type="dxa"/>
            <w:tcBorders>
              <w:bottom w:val="single" w:sz="4" w:space="0" w:color="auto"/>
            </w:tcBorders>
            <w:shd w:val="clear" w:color="auto" w:fill="B4C6E7" w:themeFill="accent1" w:themeFillTint="66"/>
          </w:tcPr>
          <w:p w14:paraId="591AB3BE" w14:textId="77777777" w:rsidR="00B42A9D" w:rsidRPr="00B42A9D" w:rsidRDefault="00E657F5" w:rsidP="00B42A9D">
            <w:pPr>
              <w:spacing w:after="0"/>
              <w:rPr>
                <w:rFonts w:cs="Arial"/>
                <w:b/>
                <w:bCs/>
                <w:iCs/>
                <w:sz w:val="20"/>
                <w:szCs w:val="20"/>
              </w:rPr>
            </w:pPr>
            <w:r w:rsidRPr="00B42A9D">
              <w:rPr>
                <w:rFonts w:cs="Arial"/>
                <w:b/>
                <w:bCs/>
                <w:iCs/>
                <w:sz w:val="20"/>
                <w:szCs w:val="20"/>
              </w:rPr>
              <w:t>Percentage passing by mass</w:t>
            </w:r>
          </w:p>
        </w:tc>
      </w:tr>
      <w:tr w:rsidR="00B933CA" w14:paraId="1A422A6A" w14:textId="77777777" w:rsidTr="00B42A9D">
        <w:trPr>
          <w:jc w:val="center"/>
        </w:trPr>
        <w:tc>
          <w:tcPr>
            <w:tcW w:w="1696" w:type="dxa"/>
            <w:shd w:val="clear" w:color="auto" w:fill="FBE4D5" w:themeFill="accent2" w:themeFillTint="33"/>
          </w:tcPr>
          <w:p w14:paraId="58571878" w14:textId="77777777" w:rsidR="00B42A9D" w:rsidRPr="00B42A9D" w:rsidRDefault="00E657F5" w:rsidP="00B42A9D">
            <w:pPr>
              <w:spacing w:after="0"/>
              <w:rPr>
                <w:rFonts w:cs="Arial"/>
                <w:iCs/>
                <w:sz w:val="20"/>
                <w:szCs w:val="20"/>
              </w:rPr>
            </w:pPr>
            <w:r w:rsidRPr="00B42A9D">
              <w:rPr>
                <w:rFonts w:cs="Arial"/>
                <w:iCs/>
                <w:sz w:val="20"/>
                <w:szCs w:val="20"/>
              </w:rPr>
              <w:t>80mm</w:t>
            </w:r>
            <w:r w:rsidRPr="00B42A9D">
              <w:rPr>
                <w:rFonts w:cs="Arial"/>
                <w:iCs/>
                <w:sz w:val="20"/>
                <w:szCs w:val="20"/>
              </w:rPr>
              <w:tab/>
            </w:r>
          </w:p>
        </w:tc>
        <w:tc>
          <w:tcPr>
            <w:tcW w:w="2977" w:type="dxa"/>
            <w:shd w:val="clear" w:color="auto" w:fill="FBE4D5" w:themeFill="accent2" w:themeFillTint="33"/>
          </w:tcPr>
          <w:p w14:paraId="20528EEF" w14:textId="77777777" w:rsidR="00B42A9D" w:rsidRPr="00B42A9D" w:rsidRDefault="00E657F5" w:rsidP="00B42A9D">
            <w:pPr>
              <w:spacing w:after="0"/>
              <w:rPr>
                <w:rFonts w:cs="Arial"/>
                <w:iCs/>
                <w:sz w:val="20"/>
                <w:szCs w:val="20"/>
              </w:rPr>
            </w:pPr>
            <w:r w:rsidRPr="00B42A9D">
              <w:rPr>
                <w:rFonts w:cs="Arial"/>
                <w:iCs/>
                <w:sz w:val="20"/>
                <w:szCs w:val="20"/>
              </w:rPr>
              <w:t>100</w:t>
            </w:r>
          </w:p>
        </w:tc>
      </w:tr>
      <w:tr w:rsidR="00B933CA" w14:paraId="0C9242B4" w14:textId="77777777" w:rsidTr="00B42A9D">
        <w:trPr>
          <w:jc w:val="center"/>
        </w:trPr>
        <w:tc>
          <w:tcPr>
            <w:tcW w:w="1696" w:type="dxa"/>
            <w:shd w:val="clear" w:color="auto" w:fill="FBE4D5" w:themeFill="accent2" w:themeFillTint="33"/>
          </w:tcPr>
          <w:p w14:paraId="7761D1D6" w14:textId="77777777" w:rsidR="00B42A9D" w:rsidRPr="00B42A9D" w:rsidRDefault="00E657F5" w:rsidP="00B42A9D">
            <w:pPr>
              <w:spacing w:after="0"/>
              <w:rPr>
                <w:rFonts w:cs="Arial"/>
                <w:iCs/>
                <w:sz w:val="20"/>
                <w:szCs w:val="20"/>
              </w:rPr>
            </w:pPr>
            <w:r w:rsidRPr="00B42A9D">
              <w:rPr>
                <w:rFonts w:cs="Arial"/>
                <w:iCs/>
                <w:sz w:val="20"/>
                <w:szCs w:val="20"/>
              </w:rPr>
              <w:t>63mm</w:t>
            </w:r>
            <w:r w:rsidRPr="00B42A9D">
              <w:rPr>
                <w:rFonts w:cs="Arial"/>
                <w:iCs/>
                <w:sz w:val="20"/>
                <w:szCs w:val="20"/>
              </w:rPr>
              <w:tab/>
            </w:r>
          </w:p>
        </w:tc>
        <w:tc>
          <w:tcPr>
            <w:tcW w:w="2977" w:type="dxa"/>
            <w:shd w:val="clear" w:color="auto" w:fill="FBE4D5" w:themeFill="accent2" w:themeFillTint="33"/>
          </w:tcPr>
          <w:p w14:paraId="7EBBFAD2" w14:textId="77777777" w:rsidR="00B42A9D" w:rsidRPr="00B42A9D" w:rsidRDefault="00E657F5" w:rsidP="00B42A9D">
            <w:pPr>
              <w:spacing w:after="0"/>
              <w:rPr>
                <w:rFonts w:cs="Arial"/>
                <w:iCs/>
                <w:sz w:val="20"/>
                <w:szCs w:val="20"/>
              </w:rPr>
            </w:pPr>
            <w:r w:rsidRPr="00B42A9D">
              <w:rPr>
                <w:rFonts w:cs="Arial"/>
                <w:iCs/>
                <w:sz w:val="20"/>
                <w:szCs w:val="20"/>
              </w:rPr>
              <w:t>98 – 100</w:t>
            </w:r>
          </w:p>
        </w:tc>
      </w:tr>
      <w:tr w:rsidR="00B933CA" w14:paraId="445AF4DD" w14:textId="77777777" w:rsidTr="00B42A9D">
        <w:trPr>
          <w:jc w:val="center"/>
        </w:trPr>
        <w:tc>
          <w:tcPr>
            <w:tcW w:w="1696" w:type="dxa"/>
            <w:shd w:val="clear" w:color="auto" w:fill="FBE4D5" w:themeFill="accent2" w:themeFillTint="33"/>
          </w:tcPr>
          <w:p w14:paraId="6215A2F8" w14:textId="77777777" w:rsidR="00B42A9D" w:rsidRPr="00B42A9D" w:rsidRDefault="00E657F5" w:rsidP="00B42A9D">
            <w:pPr>
              <w:spacing w:after="0"/>
              <w:rPr>
                <w:rFonts w:cs="Arial"/>
                <w:iCs/>
                <w:sz w:val="20"/>
                <w:szCs w:val="20"/>
              </w:rPr>
            </w:pPr>
            <w:r w:rsidRPr="00B42A9D">
              <w:rPr>
                <w:rFonts w:cs="Arial"/>
                <w:iCs/>
                <w:sz w:val="20"/>
                <w:szCs w:val="20"/>
              </w:rPr>
              <w:t>40mm</w:t>
            </w:r>
          </w:p>
        </w:tc>
        <w:tc>
          <w:tcPr>
            <w:tcW w:w="2977" w:type="dxa"/>
            <w:shd w:val="clear" w:color="auto" w:fill="FBE4D5" w:themeFill="accent2" w:themeFillTint="33"/>
          </w:tcPr>
          <w:p w14:paraId="7319EB0B" w14:textId="77777777" w:rsidR="00B42A9D" w:rsidRPr="00B42A9D" w:rsidRDefault="00E657F5" w:rsidP="00B42A9D">
            <w:pPr>
              <w:spacing w:after="0"/>
              <w:rPr>
                <w:rFonts w:cs="Arial"/>
                <w:iCs/>
                <w:sz w:val="20"/>
                <w:szCs w:val="20"/>
              </w:rPr>
            </w:pPr>
            <w:r w:rsidRPr="00B42A9D">
              <w:rPr>
                <w:rFonts w:cs="Arial"/>
                <w:iCs/>
                <w:sz w:val="20"/>
                <w:szCs w:val="20"/>
              </w:rPr>
              <w:t>80 – 99</w:t>
            </w:r>
          </w:p>
        </w:tc>
      </w:tr>
      <w:tr w:rsidR="00B933CA" w14:paraId="14574B49" w14:textId="77777777" w:rsidTr="00B42A9D">
        <w:trPr>
          <w:jc w:val="center"/>
        </w:trPr>
        <w:tc>
          <w:tcPr>
            <w:tcW w:w="1696" w:type="dxa"/>
            <w:shd w:val="clear" w:color="auto" w:fill="FBE4D5" w:themeFill="accent2" w:themeFillTint="33"/>
          </w:tcPr>
          <w:p w14:paraId="7070A377" w14:textId="77777777" w:rsidR="00B42A9D" w:rsidRPr="00B42A9D" w:rsidRDefault="00E657F5" w:rsidP="00B42A9D">
            <w:pPr>
              <w:spacing w:after="0"/>
              <w:rPr>
                <w:rFonts w:cs="Arial"/>
                <w:iCs/>
                <w:sz w:val="20"/>
                <w:szCs w:val="20"/>
              </w:rPr>
            </w:pPr>
            <w:r w:rsidRPr="00B42A9D">
              <w:rPr>
                <w:rFonts w:cs="Arial"/>
                <w:iCs/>
                <w:sz w:val="20"/>
                <w:szCs w:val="20"/>
              </w:rPr>
              <w:t>20mm</w:t>
            </w:r>
          </w:p>
        </w:tc>
        <w:tc>
          <w:tcPr>
            <w:tcW w:w="2977" w:type="dxa"/>
            <w:shd w:val="clear" w:color="auto" w:fill="FBE4D5" w:themeFill="accent2" w:themeFillTint="33"/>
          </w:tcPr>
          <w:p w14:paraId="2C3BFCA0" w14:textId="77777777" w:rsidR="00B42A9D" w:rsidRPr="00B42A9D" w:rsidRDefault="00E657F5" w:rsidP="00B42A9D">
            <w:pPr>
              <w:spacing w:after="0"/>
              <w:rPr>
                <w:rFonts w:cs="Arial"/>
                <w:iCs/>
                <w:sz w:val="20"/>
                <w:szCs w:val="20"/>
              </w:rPr>
            </w:pPr>
            <w:r w:rsidRPr="00B42A9D">
              <w:rPr>
                <w:rFonts w:cs="Arial"/>
                <w:iCs/>
                <w:sz w:val="20"/>
                <w:szCs w:val="20"/>
              </w:rPr>
              <w:t>0 – 20</w:t>
            </w:r>
          </w:p>
        </w:tc>
      </w:tr>
      <w:tr w:rsidR="00B933CA" w14:paraId="1D299B8A" w14:textId="77777777" w:rsidTr="00B42A9D">
        <w:trPr>
          <w:jc w:val="center"/>
        </w:trPr>
        <w:tc>
          <w:tcPr>
            <w:tcW w:w="1696" w:type="dxa"/>
            <w:shd w:val="clear" w:color="auto" w:fill="FBE4D5" w:themeFill="accent2" w:themeFillTint="33"/>
          </w:tcPr>
          <w:p w14:paraId="73EFFC18" w14:textId="77777777" w:rsidR="00B42A9D" w:rsidRPr="00B42A9D" w:rsidRDefault="00E657F5" w:rsidP="00B42A9D">
            <w:pPr>
              <w:spacing w:after="0"/>
              <w:rPr>
                <w:rFonts w:cs="Arial"/>
                <w:iCs/>
                <w:sz w:val="20"/>
                <w:szCs w:val="20"/>
              </w:rPr>
            </w:pPr>
            <w:r w:rsidRPr="00B42A9D">
              <w:rPr>
                <w:rFonts w:cs="Arial"/>
                <w:iCs/>
                <w:sz w:val="20"/>
                <w:szCs w:val="20"/>
              </w:rPr>
              <w:t>10mm</w:t>
            </w:r>
          </w:p>
        </w:tc>
        <w:tc>
          <w:tcPr>
            <w:tcW w:w="2977" w:type="dxa"/>
            <w:shd w:val="clear" w:color="auto" w:fill="FBE4D5" w:themeFill="accent2" w:themeFillTint="33"/>
          </w:tcPr>
          <w:p w14:paraId="58A716FC" w14:textId="77777777" w:rsidR="00B42A9D" w:rsidRPr="00B42A9D" w:rsidRDefault="00E657F5" w:rsidP="00B42A9D">
            <w:pPr>
              <w:spacing w:after="0"/>
              <w:rPr>
                <w:rFonts w:cs="Arial"/>
                <w:iCs/>
                <w:sz w:val="20"/>
                <w:szCs w:val="20"/>
              </w:rPr>
            </w:pPr>
            <w:r w:rsidRPr="00B42A9D">
              <w:rPr>
                <w:rFonts w:cs="Arial"/>
                <w:iCs/>
                <w:sz w:val="20"/>
                <w:szCs w:val="20"/>
              </w:rPr>
              <w:t>0 - 5</w:t>
            </w:r>
          </w:p>
        </w:tc>
      </w:tr>
    </w:tbl>
    <w:p w14:paraId="6040B660" w14:textId="77777777" w:rsidR="00CF0891" w:rsidRDefault="00E657F5" w:rsidP="00AA6591">
      <w:pPr>
        <w:pStyle w:val="Caption"/>
        <w:jc w:val="center"/>
      </w:pPr>
      <w:bookmarkStart w:id="28" w:name="_Toc119569290"/>
      <w:bookmarkStart w:id="29" w:name="_Toc120010310"/>
      <w:r>
        <w:t xml:space="preserve">Table </w:t>
      </w:r>
      <w:r w:rsidR="00737389">
        <w:fldChar w:fldCharType="begin"/>
      </w:r>
      <w:r>
        <w:instrText xml:space="preserve"> SEQ Table \* ARABIC </w:instrText>
      </w:r>
      <w:r w:rsidR="00737389">
        <w:fldChar w:fldCharType="separate"/>
      </w:r>
      <w:r w:rsidR="00737389">
        <w:rPr>
          <w:noProof/>
        </w:rPr>
        <w:t>3</w:t>
      </w:r>
      <w:r w:rsidR="00737389">
        <w:rPr>
          <w:noProof/>
        </w:rPr>
        <w:fldChar w:fldCharType="end"/>
      </w:r>
      <w:r>
        <w:t xml:space="preserve"> - Land drainage medium grading</w:t>
      </w:r>
      <w:bookmarkEnd w:id="28"/>
      <w:bookmarkEnd w:id="29"/>
      <w:r>
        <w:br/>
      </w:r>
    </w:p>
    <w:p w14:paraId="2DA17863" w14:textId="77777777" w:rsidR="00292BFA" w:rsidRDefault="00E657F5" w:rsidP="0022139F">
      <w:pPr>
        <w:pStyle w:val="Bullet"/>
        <w:numPr>
          <w:ilvl w:val="0"/>
          <w:numId w:val="1"/>
        </w:numPr>
      </w:pPr>
      <w:r w:rsidRPr="00CF0891">
        <w:t>The material shall have a water-soluble sulphate content of less than 0.38% of sulphate (as SO</w:t>
      </w:r>
      <w:r w:rsidRPr="00CB3DA3">
        <w:rPr>
          <w:vertAlign w:val="subscript"/>
        </w:rPr>
        <w:t>3</w:t>
      </w:r>
      <w:r w:rsidRPr="00CF0891">
        <w:t>) when tested on accordance with BS EN 1744-1:2009, Clause10.</w:t>
      </w:r>
    </w:p>
    <w:p w14:paraId="26943CF1" w14:textId="77777777" w:rsidR="0082682D" w:rsidRPr="008E7B1B" w:rsidRDefault="00E657F5" w:rsidP="00A02DF7">
      <w:pPr>
        <w:pStyle w:val="Heading2"/>
        <w:ind w:left="1021" w:hanging="1021"/>
      </w:pPr>
      <w:bookmarkStart w:id="30" w:name="_Toc87942666"/>
      <w:r w:rsidRPr="00A91EF1">
        <w:t>Sewers, drains and apparatus</w:t>
      </w:r>
      <w:bookmarkEnd w:id="30"/>
    </w:p>
    <w:p w14:paraId="1FF2AE43" w14:textId="77777777" w:rsidR="0082682D" w:rsidRPr="0082682D" w:rsidRDefault="00E657F5" w:rsidP="0082682D">
      <w:pPr>
        <w:pStyle w:val="BodyText"/>
        <w:rPr>
          <w:lang w:eastAsia="en-GB"/>
        </w:rPr>
      </w:pPr>
      <w:r w:rsidRPr="0082682D">
        <w:rPr>
          <w:lang w:eastAsia="en-GB"/>
        </w:rPr>
        <w:t>When excavating within a highway, drains, sewers, cables and other highway apparatus and apparatus together with statutory undertakers' apparatus must be located by hand in advance of machine excavation in accordance with HSG47.</w:t>
      </w:r>
    </w:p>
    <w:p w14:paraId="3C140978" w14:textId="77777777" w:rsidR="0082682D" w:rsidRPr="0082682D" w:rsidRDefault="00E657F5" w:rsidP="0082682D">
      <w:pPr>
        <w:pStyle w:val="BodyText"/>
        <w:rPr>
          <w:lang w:eastAsia="en-GB"/>
        </w:rPr>
      </w:pPr>
      <w:r w:rsidRPr="0082682D">
        <w:rPr>
          <w:lang w:eastAsia="en-GB"/>
        </w:rPr>
        <w:t>If any apparatus is encountered the highway authority and the statutory undertaker shall be notified immediately and no pipe or cable shall be disturbed without their approval.</w:t>
      </w:r>
    </w:p>
    <w:p w14:paraId="67BC2538" w14:textId="77777777" w:rsidR="0082682D" w:rsidRPr="0082682D" w:rsidRDefault="00E657F5" w:rsidP="0082682D">
      <w:pPr>
        <w:pStyle w:val="BodyText"/>
        <w:rPr>
          <w:lang w:eastAsia="en-GB"/>
        </w:rPr>
      </w:pPr>
      <w:r w:rsidRPr="0082682D">
        <w:rPr>
          <w:lang w:eastAsia="en-GB"/>
        </w:rPr>
        <w:t>Excavation in and reinstatement of existing highway surfaces shall be in accordance with the requirements of the relevant Application for Permission to Open Highways of the Local Authority. The application form shall be completed and approved by the Engineer prior to work commencing.</w:t>
      </w:r>
    </w:p>
    <w:p w14:paraId="37ECD360" w14:textId="77777777" w:rsidR="0082682D" w:rsidRDefault="00E657F5" w:rsidP="00A02DF7">
      <w:pPr>
        <w:pStyle w:val="Heading2"/>
        <w:ind w:left="1021" w:hanging="1021"/>
      </w:pPr>
      <w:bookmarkStart w:id="31" w:name="_Toc87942667"/>
      <w:r>
        <w:t>Pipes</w:t>
      </w:r>
      <w:bookmarkEnd w:id="31"/>
    </w:p>
    <w:p w14:paraId="1375D149" w14:textId="77777777" w:rsidR="0082682D" w:rsidRPr="0082682D" w:rsidRDefault="00E657F5" w:rsidP="0082682D">
      <w:pPr>
        <w:pStyle w:val="BodyText"/>
        <w:rPr>
          <w:lang w:eastAsia="en-GB"/>
        </w:rPr>
      </w:pPr>
      <w:r w:rsidRPr="0082682D">
        <w:rPr>
          <w:lang w:eastAsia="en-GB"/>
        </w:rPr>
        <w:t xml:space="preserve">Clay pipes and fittings shall comply in every respect with BS EN 295:2013 and shall be supplied with an approved spigot and socket flexible joint sealed with a rubber ring.  Manufacturer's specialist flexible joints may be used with the approval of the Engineer.  Pipes shall be British Standard, British Standard Extra </w:t>
      </w:r>
      <w:r w:rsidR="00AA50C0" w:rsidRPr="0082682D">
        <w:rPr>
          <w:lang w:eastAsia="en-GB"/>
        </w:rPr>
        <w:t>Strength,</w:t>
      </w:r>
      <w:r w:rsidRPr="0082682D">
        <w:rPr>
          <w:lang w:eastAsia="en-GB"/>
        </w:rPr>
        <w:t xml:space="preserve"> or British Standard Super Strength as appropriate.  Cement mortar joints may be used only in special cases and must be subject to the approval of the Engineer.</w:t>
      </w:r>
    </w:p>
    <w:p w14:paraId="29EA94F8" w14:textId="77777777" w:rsidR="0082682D" w:rsidRPr="0082682D" w:rsidRDefault="00E657F5" w:rsidP="0082682D">
      <w:pPr>
        <w:pStyle w:val="BodyText"/>
        <w:rPr>
          <w:lang w:eastAsia="en-GB"/>
        </w:rPr>
      </w:pPr>
      <w:r w:rsidRPr="0082682D">
        <w:rPr>
          <w:lang w:eastAsia="en-GB"/>
        </w:rPr>
        <w:t>Concrete pipes and fittings shall comply in every respect with BS 5911:2021 and shall be supplied with an approved spigot and socket flexible joint sealed with a rubber ring.  Components with sizes or strengths outside the ranges covered by BS 5911:2021 shall comply with the requirements of that standard where appropriate.</w:t>
      </w:r>
    </w:p>
    <w:p w14:paraId="2761B175" w14:textId="77777777" w:rsidR="0082682D" w:rsidRPr="0082682D" w:rsidRDefault="00E657F5" w:rsidP="0082682D">
      <w:pPr>
        <w:pStyle w:val="BodyText"/>
        <w:rPr>
          <w:lang w:eastAsia="en-GB"/>
        </w:rPr>
      </w:pPr>
      <w:r w:rsidRPr="0082682D">
        <w:rPr>
          <w:lang w:eastAsia="en-GB"/>
        </w:rPr>
        <w:t xml:space="preserve">Where the Developer proposes to use concrete pipes, he must produce to the Engineer evidence of the chemical properties of the sub-soil and ground water.  Where adverse conditions </w:t>
      </w:r>
      <w:r w:rsidR="00960097" w:rsidRPr="0082682D">
        <w:rPr>
          <w:lang w:eastAsia="en-GB"/>
        </w:rPr>
        <w:t>occur,</w:t>
      </w:r>
      <w:r w:rsidRPr="0082682D">
        <w:rPr>
          <w:lang w:eastAsia="en-GB"/>
        </w:rPr>
        <w:t xml:space="preserve"> the Developer must submit for approval details of protective measures to be taken.</w:t>
      </w:r>
    </w:p>
    <w:p w14:paraId="69E1944B" w14:textId="77777777" w:rsidR="0082682D" w:rsidRPr="0082682D" w:rsidRDefault="00E657F5" w:rsidP="0082682D">
      <w:pPr>
        <w:pStyle w:val="BodyText"/>
        <w:rPr>
          <w:lang w:eastAsia="en-GB"/>
        </w:rPr>
      </w:pPr>
      <w:r w:rsidRPr="0082682D">
        <w:rPr>
          <w:lang w:eastAsia="en-GB"/>
        </w:rPr>
        <w:t>Plastic pipes shall be used in gully connections only and not as highway carrier drains.  They shall be un-perforated with watertight joints and with a pipe stiffness in excess of 1400N/m2, when tested in accordance with BS 4962:1989, and a resistance to impact complying with BS 4962:1989 except that the striker used in the test shall have a mass of 1kg and a hemispherical radius of 25mm.</w:t>
      </w:r>
    </w:p>
    <w:p w14:paraId="0E02E355" w14:textId="77777777" w:rsidR="0082682D" w:rsidRDefault="00E657F5" w:rsidP="00A02DF7">
      <w:pPr>
        <w:pStyle w:val="Heading2"/>
        <w:ind w:left="1021" w:hanging="1021"/>
      </w:pPr>
      <w:bookmarkStart w:id="32" w:name="_Toc87942668"/>
      <w:r>
        <w:t>Pipe Bedding Material</w:t>
      </w:r>
      <w:bookmarkEnd w:id="32"/>
    </w:p>
    <w:p w14:paraId="1FD7DE71" w14:textId="77777777" w:rsidR="0082682D" w:rsidRPr="0082682D" w:rsidRDefault="00E657F5" w:rsidP="0082682D">
      <w:pPr>
        <w:pStyle w:val="BodyText"/>
        <w:rPr>
          <w:lang w:eastAsia="en-GB"/>
        </w:rPr>
      </w:pPr>
      <w:r w:rsidRPr="0082682D">
        <w:rPr>
          <w:lang w:eastAsia="en-GB"/>
        </w:rPr>
        <w:t xml:space="preserve">Granular Bedding Material – Granular material used as bedding for pipes shall consist of gravel or crushed stone. It shall be hard durable crushed limestone, igneous </w:t>
      </w:r>
      <w:r w:rsidR="00AA50C0" w:rsidRPr="0082682D">
        <w:rPr>
          <w:lang w:eastAsia="en-GB"/>
        </w:rPr>
        <w:t>rock,</w:t>
      </w:r>
      <w:r w:rsidRPr="0082682D">
        <w:rPr>
          <w:lang w:eastAsia="en-GB"/>
        </w:rPr>
        <w:t xml:space="preserve"> or gravel free from clay and other extraneous matter and shall be from an approved source.  The LA Value shall be more than 50kN when tested in accordance with BS EN 13242:2002.  The material shall also comply with the following requirements:</w:t>
      </w:r>
    </w:p>
    <w:p w14:paraId="377D4F1F" w14:textId="77777777" w:rsidR="00AA6591" w:rsidRDefault="00E657F5" w:rsidP="0082682D">
      <w:pPr>
        <w:pStyle w:val="Bullet"/>
      </w:pPr>
      <w:r w:rsidRPr="0082682D">
        <w:t>Grading (PD 6682 – 1:2009 Table C.1 10/20 single-sized)</w:t>
      </w:r>
    </w:p>
    <w:tbl>
      <w:tblPr>
        <w:tblStyle w:val="TableGrid"/>
        <w:tblW w:w="0" w:type="auto"/>
        <w:jc w:val="center"/>
        <w:tblLook w:val="04A0" w:firstRow="1" w:lastRow="0" w:firstColumn="1" w:lastColumn="0" w:noHBand="0" w:noVBand="1"/>
      </w:tblPr>
      <w:tblGrid>
        <w:gridCol w:w="1696"/>
        <w:gridCol w:w="2977"/>
      </w:tblGrid>
      <w:tr w:rsidR="00B933CA" w14:paraId="09C9B015" w14:textId="77777777" w:rsidTr="00355D2D">
        <w:trPr>
          <w:jc w:val="center"/>
        </w:trPr>
        <w:tc>
          <w:tcPr>
            <w:tcW w:w="1696" w:type="dxa"/>
            <w:tcBorders>
              <w:bottom w:val="single" w:sz="4" w:space="0" w:color="auto"/>
            </w:tcBorders>
            <w:shd w:val="clear" w:color="auto" w:fill="B4C6E7" w:themeFill="accent1" w:themeFillTint="66"/>
          </w:tcPr>
          <w:p w14:paraId="5D512955" w14:textId="77777777" w:rsidR="00AA6591" w:rsidRPr="00B42A9D" w:rsidRDefault="00E657F5" w:rsidP="00355D2D">
            <w:pPr>
              <w:spacing w:after="0"/>
              <w:rPr>
                <w:rFonts w:cs="Arial"/>
                <w:b/>
                <w:bCs/>
                <w:iCs/>
                <w:sz w:val="20"/>
                <w:szCs w:val="20"/>
              </w:rPr>
            </w:pPr>
            <w:r w:rsidRPr="00B42A9D">
              <w:rPr>
                <w:rFonts w:cs="Arial"/>
                <w:b/>
                <w:bCs/>
                <w:iCs/>
                <w:sz w:val="20"/>
                <w:szCs w:val="20"/>
              </w:rPr>
              <w:t>BS Sieve Size</w:t>
            </w:r>
          </w:p>
        </w:tc>
        <w:tc>
          <w:tcPr>
            <w:tcW w:w="2977" w:type="dxa"/>
            <w:tcBorders>
              <w:bottom w:val="single" w:sz="4" w:space="0" w:color="auto"/>
            </w:tcBorders>
            <w:shd w:val="clear" w:color="auto" w:fill="B4C6E7" w:themeFill="accent1" w:themeFillTint="66"/>
          </w:tcPr>
          <w:p w14:paraId="0DAB9040" w14:textId="77777777" w:rsidR="00AA6591" w:rsidRPr="00B42A9D" w:rsidRDefault="00E657F5" w:rsidP="00355D2D">
            <w:pPr>
              <w:spacing w:after="0"/>
              <w:rPr>
                <w:rFonts w:cs="Arial"/>
                <w:b/>
                <w:bCs/>
                <w:iCs/>
                <w:sz w:val="20"/>
                <w:szCs w:val="20"/>
              </w:rPr>
            </w:pPr>
            <w:r w:rsidRPr="00B42A9D">
              <w:rPr>
                <w:rFonts w:cs="Arial"/>
                <w:b/>
                <w:bCs/>
                <w:iCs/>
                <w:sz w:val="20"/>
                <w:szCs w:val="20"/>
              </w:rPr>
              <w:t>Percentage passing by mass</w:t>
            </w:r>
          </w:p>
        </w:tc>
      </w:tr>
      <w:tr w:rsidR="00B933CA" w14:paraId="7341DB05" w14:textId="77777777" w:rsidTr="00355D2D">
        <w:trPr>
          <w:jc w:val="center"/>
        </w:trPr>
        <w:tc>
          <w:tcPr>
            <w:tcW w:w="1696" w:type="dxa"/>
            <w:shd w:val="clear" w:color="auto" w:fill="FBE4D5" w:themeFill="accent2" w:themeFillTint="33"/>
          </w:tcPr>
          <w:p w14:paraId="1974DE63" w14:textId="77777777" w:rsidR="00AA6591" w:rsidRPr="00B42A9D" w:rsidRDefault="00E657F5" w:rsidP="00355D2D">
            <w:pPr>
              <w:spacing w:after="0"/>
              <w:rPr>
                <w:rFonts w:cs="Arial"/>
                <w:iCs/>
                <w:sz w:val="20"/>
                <w:szCs w:val="20"/>
              </w:rPr>
            </w:pPr>
            <w:r>
              <w:rPr>
                <w:rFonts w:cs="Arial"/>
                <w:iCs/>
                <w:sz w:val="20"/>
                <w:szCs w:val="20"/>
              </w:rPr>
              <w:t>4</w:t>
            </w:r>
            <w:r w:rsidRPr="00B42A9D">
              <w:rPr>
                <w:rFonts w:cs="Arial"/>
                <w:iCs/>
                <w:sz w:val="20"/>
                <w:szCs w:val="20"/>
              </w:rPr>
              <w:t>0mm</w:t>
            </w:r>
            <w:r w:rsidRPr="00B42A9D">
              <w:rPr>
                <w:rFonts w:cs="Arial"/>
                <w:iCs/>
                <w:sz w:val="20"/>
                <w:szCs w:val="20"/>
              </w:rPr>
              <w:tab/>
            </w:r>
          </w:p>
        </w:tc>
        <w:tc>
          <w:tcPr>
            <w:tcW w:w="2977" w:type="dxa"/>
            <w:shd w:val="clear" w:color="auto" w:fill="FBE4D5" w:themeFill="accent2" w:themeFillTint="33"/>
          </w:tcPr>
          <w:p w14:paraId="33843DC1" w14:textId="77777777" w:rsidR="00AA6591" w:rsidRPr="00B42A9D" w:rsidRDefault="00E657F5" w:rsidP="00355D2D">
            <w:pPr>
              <w:spacing w:after="0"/>
              <w:rPr>
                <w:rFonts w:cs="Arial"/>
                <w:iCs/>
                <w:sz w:val="20"/>
                <w:szCs w:val="20"/>
              </w:rPr>
            </w:pPr>
            <w:r w:rsidRPr="00B42A9D">
              <w:rPr>
                <w:rFonts w:cs="Arial"/>
                <w:iCs/>
                <w:sz w:val="20"/>
                <w:szCs w:val="20"/>
              </w:rPr>
              <w:t>100</w:t>
            </w:r>
          </w:p>
        </w:tc>
      </w:tr>
      <w:tr w:rsidR="00B933CA" w14:paraId="0EF6306F" w14:textId="77777777" w:rsidTr="00355D2D">
        <w:trPr>
          <w:jc w:val="center"/>
        </w:trPr>
        <w:tc>
          <w:tcPr>
            <w:tcW w:w="1696" w:type="dxa"/>
            <w:shd w:val="clear" w:color="auto" w:fill="FBE4D5" w:themeFill="accent2" w:themeFillTint="33"/>
          </w:tcPr>
          <w:p w14:paraId="407C3AB7" w14:textId="77777777" w:rsidR="00AA6591" w:rsidRPr="00B42A9D" w:rsidRDefault="00E657F5" w:rsidP="00355D2D">
            <w:pPr>
              <w:spacing w:after="0"/>
              <w:rPr>
                <w:rFonts w:cs="Arial"/>
                <w:iCs/>
                <w:sz w:val="20"/>
                <w:szCs w:val="20"/>
              </w:rPr>
            </w:pPr>
            <w:r>
              <w:rPr>
                <w:rFonts w:cs="Arial"/>
                <w:iCs/>
                <w:sz w:val="20"/>
                <w:szCs w:val="20"/>
              </w:rPr>
              <w:t>31.5</w:t>
            </w:r>
            <w:r w:rsidRPr="00B42A9D">
              <w:rPr>
                <w:rFonts w:cs="Arial"/>
                <w:iCs/>
                <w:sz w:val="20"/>
                <w:szCs w:val="20"/>
              </w:rPr>
              <w:t>mm</w:t>
            </w:r>
            <w:r w:rsidRPr="00B42A9D">
              <w:rPr>
                <w:rFonts w:cs="Arial"/>
                <w:iCs/>
                <w:sz w:val="20"/>
                <w:szCs w:val="20"/>
              </w:rPr>
              <w:tab/>
            </w:r>
          </w:p>
        </w:tc>
        <w:tc>
          <w:tcPr>
            <w:tcW w:w="2977" w:type="dxa"/>
            <w:shd w:val="clear" w:color="auto" w:fill="FBE4D5" w:themeFill="accent2" w:themeFillTint="33"/>
          </w:tcPr>
          <w:p w14:paraId="78E54788" w14:textId="77777777" w:rsidR="00AA6591" w:rsidRPr="00B42A9D" w:rsidRDefault="00E657F5" w:rsidP="00355D2D">
            <w:pPr>
              <w:spacing w:after="0"/>
              <w:rPr>
                <w:rFonts w:cs="Arial"/>
                <w:iCs/>
                <w:sz w:val="20"/>
                <w:szCs w:val="20"/>
              </w:rPr>
            </w:pPr>
            <w:r w:rsidRPr="00B42A9D">
              <w:rPr>
                <w:rFonts w:cs="Arial"/>
                <w:iCs/>
                <w:sz w:val="20"/>
                <w:szCs w:val="20"/>
              </w:rPr>
              <w:t>98 – 100</w:t>
            </w:r>
          </w:p>
        </w:tc>
      </w:tr>
      <w:tr w:rsidR="00B933CA" w14:paraId="0D2AC8C6" w14:textId="77777777" w:rsidTr="00355D2D">
        <w:trPr>
          <w:jc w:val="center"/>
        </w:trPr>
        <w:tc>
          <w:tcPr>
            <w:tcW w:w="1696" w:type="dxa"/>
            <w:shd w:val="clear" w:color="auto" w:fill="FBE4D5" w:themeFill="accent2" w:themeFillTint="33"/>
          </w:tcPr>
          <w:p w14:paraId="15ACC7E7" w14:textId="77777777" w:rsidR="00AA6591" w:rsidRPr="00B42A9D" w:rsidRDefault="00E657F5" w:rsidP="00355D2D">
            <w:pPr>
              <w:spacing w:after="0"/>
              <w:rPr>
                <w:rFonts w:cs="Arial"/>
                <w:iCs/>
                <w:sz w:val="20"/>
                <w:szCs w:val="20"/>
              </w:rPr>
            </w:pPr>
            <w:r>
              <w:rPr>
                <w:rFonts w:cs="Arial"/>
                <w:iCs/>
                <w:sz w:val="20"/>
                <w:szCs w:val="20"/>
              </w:rPr>
              <w:t>20</w:t>
            </w:r>
            <w:r w:rsidRPr="00B42A9D">
              <w:rPr>
                <w:rFonts w:cs="Arial"/>
                <w:iCs/>
                <w:sz w:val="20"/>
                <w:szCs w:val="20"/>
              </w:rPr>
              <w:t>mm</w:t>
            </w:r>
          </w:p>
        </w:tc>
        <w:tc>
          <w:tcPr>
            <w:tcW w:w="2977" w:type="dxa"/>
            <w:shd w:val="clear" w:color="auto" w:fill="FBE4D5" w:themeFill="accent2" w:themeFillTint="33"/>
          </w:tcPr>
          <w:p w14:paraId="207D9787" w14:textId="77777777" w:rsidR="00AA6591" w:rsidRPr="00B42A9D" w:rsidRDefault="00E657F5" w:rsidP="00355D2D">
            <w:pPr>
              <w:spacing w:after="0"/>
              <w:rPr>
                <w:rFonts w:cs="Arial"/>
                <w:iCs/>
                <w:sz w:val="20"/>
                <w:szCs w:val="20"/>
              </w:rPr>
            </w:pPr>
            <w:r w:rsidRPr="00B42A9D">
              <w:rPr>
                <w:rFonts w:cs="Arial"/>
                <w:iCs/>
                <w:sz w:val="20"/>
                <w:szCs w:val="20"/>
              </w:rPr>
              <w:t>8</w:t>
            </w:r>
            <w:r>
              <w:rPr>
                <w:rFonts w:cs="Arial"/>
                <w:iCs/>
                <w:sz w:val="20"/>
                <w:szCs w:val="20"/>
              </w:rPr>
              <w:t>5</w:t>
            </w:r>
            <w:r w:rsidRPr="00B42A9D">
              <w:rPr>
                <w:rFonts w:cs="Arial"/>
                <w:iCs/>
                <w:sz w:val="20"/>
                <w:szCs w:val="20"/>
              </w:rPr>
              <w:t xml:space="preserve"> – 99</w:t>
            </w:r>
          </w:p>
        </w:tc>
      </w:tr>
      <w:tr w:rsidR="00B933CA" w14:paraId="3916F12C" w14:textId="77777777" w:rsidTr="00355D2D">
        <w:trPr>
          <w:jc w:val="center"/>
        </w:trPr>
        <w:tc>
          <w:tcPr>
            <w:tcW w:w="1696" w:type="dxa"/>
            <w:shd w:val="clear" w:color="auto" w:fill="FBE4D5" w:themeFill="accent2" w:themeFillTint="33"/>
          </w:tcPr>
          <w:p w14:paraId="3D650648" w14:textId="77777777" w:rsidR="00AA6591" w:rsidRPr="00B42A9D" w:rsidRDefault="00E657F5" w:rsidP="00355D2D">
            <w:pPr>
              <w:spacing w:after="0"/>
              <w:rPr>
                <w:rFonts w:cs="Arial"/>
                <w:iCs/>
                <w:sz w:val="20"/>
                <w:szCs w:val="20"/>
              </w:rPr>
            </w:pPr>
            <w:r>
              <w:rPr>
                <w:rFonts w:cs="Arial"/>
                <w:iCs/>
                <w:sz w:val="20"/>
                <w:szCs w:val="20"/>
              </w:rPr>
              <w:t>1</w:t>
            </w:r>
            <w:r w:rsidRPr="00B42A9D">
              <w:rPr>
                <w:rFonts w:cs="Arial"/>
                <w:iCs/>
                <w:sz w:val="20"/>
                <w:szCs w:val="20"/>
              </w:rPr>
              <w:t>0mm</w:t>
            </w:r>
          </w:p>
        </w:tc>
        <w:tc>
          <w:tcPr>
            <w:tcW w:w="2977" w:type="dxa"/>
            <w:shd w:val="clear" w:color="auto" w:fill="FBE4D5" w:themeFill="accent2" w:themeFillTint="33"/>
          </w:tcPr>
          <w:p w14:paraId="67AED464" w14:textId="77777777" w:rsidR="00AA6591" w:rsidRPr="00B42A9D" w:rsidRDefault="00E657F5" w:rsidP="00355D2D">
            <w:pPr>
              <w:spacing w:after="0"/>
              <w:rPr>
                <w:rFonts w:cs="Arial"/>
                <w:iCs/>
                <w:sz w:val="20"/>
                <w:szCs w:val="20"/>
              </w:rPr>
            </w:pPr>
            <w:r w:rsidRPr="00B42A9D">
              <w:rPr>
                <w:rFonts w:cs="Arial"/>
                <w:iCs/>
                <w:sz w:val="20"/>
                <w:szCs w:val="20"/>
              </w:rPr>
              <w:t>0 – 20</w:t>
            </w:r>
          </w:p>
        </w:tc>
      </w:tr>
      <w:tr w:rsidR="00B933CA" w14:paraId="180644B1" w14:textId="77777777" w:rsidTr="00355D2D">
        <w:trPr>
          <w:jc w:val="center"/>
        </w:trPr>
        <w:tc>
          <w:tcPr>
            <w:tcW w:w="1696" w:type="dxa"/>
            <w:shd w:val="clear" w:color="auto" w:fill="FBE4D5" w:themeFill="accent2" w:themeFillTint="33"/>
          </w:tcPr>
          <w:p w14:paraId="402EED97" w14:textId="77777777" w:rsidR="00AA6591" w:rsidRPr="00B42A9D" w:rsidRDefault="00E657F5" w:rsidP="00355D2D">
            <w:pPr>
              <w:spacing w:after="0"/>
              <w:rPr>
                <w:rFonts w:cs="Arial"/>
                <w:iCs/>
                <w:sz w:val="20"/>
                <w:szCs w:val="20"/>
              </w:rPr>
            </w:pPr>
            <w:r>
              <w:rPr>
                <w:rFonts w:cs="Arial"/>
                <w:iCs/>
                <w:sz w:val="20"/>
                <w:szCs w:val="20"/>
              </w:rPr>
              <w:t>4</w:t>
            </w:r>
            <w:r w:rsidRPr="00B42A9D">
              <w:rPr>
                <w:rFonts w:cs="Arial"/>
                <w:iCs/>
                <w:sz w:val="20"/>
                <w:szCs w:val="20"/>
              </w:rPr>
              <w:t>mm</w:t>
            </w:r>
          </w:p>
        </w:tc>
        <w:tc>
          <w:tcPr>
            <w:tcW w:w="2977" w:type="dxa"/>
            <w:shd w:val="clear" w:color="auto" w:fill="FBE4D5" w:themeFill="accent2" w:themeFillTint="33"/>
          </w:tcPr>
          <w:p w14:paraId="635D9411" w14:textId="77777777" w:rsidR="00AA6591" w:rsidRPr="00B42A9D" w:rsidRDefault="00E657F5" w:rsidP="00355D2D">
            <w:pPr>
              <w:spacing w:after="0"/>
              <w:rPr>
                <w:rFonts w:cs="Arial"/>
                <w:iCs/>
                <w:sz w:val="20"/>
                <w:szCs w:val="20"/>
              </w:rPr>
            </w:pPr>
            <w:r w:rsidRPr="00B42A9D">
              <w:rPr>
                <w:rFonts w:cs="Arial"/>
                <w:iCs/>
                <w:sz w:val="20"/>
                <w:szCs w:val="20"/>
              </w:rPr>
              <w:t>0 - 5</w:t>
            </w:r>
          </w:p>
        </w:tc>
      </w:tr>
    </w:tbl>
    <w:p w14:paraId="4385FF16" w14:textId="77777777" w:rsidR="0082682D" w:rsidRPr="0082682D" w:rsidRDefault="00E657F5" w:rsidP="00AA6591">
      <w:pPr>
        <w:pStyle w:val="Caption"/>
        <w:jc w:val="center"/>
      </w:pPr>
      <w:bookmarkStart w:id="33" w:name="_Toc119569291"/>
      <w:bookmarkStart w:id="34" w:name="_Toc120010311"/>
      <w:r>
        <w:t xml:space="preserve">Table </w:t>
      </w:r>
      <w:r w:rsidR="00737389">
        <w:fldChar w:fldCharType="begin"/>
      </w:r>
      <w:r>
        <w:instrText xml:space="preserve"> SEQ Table \* ARABIC </w:instrText>
      </w:r>
      <w:r w:rsidR="00737389">
        <w:fldChar w:fldCharType="separate"/>
      </w:r>
      <w:r w:rsidR="00737389">
        <w:rPr>
          <w:noProof/>
        </w:rPr>
        <w:t>4</w:t>
      </w:r>
      <w:r w:rsidR="00737389">
        <w:rPr>
          <w:noProof/>
        </w:rPr>
        <w:fldChar w:fldCharType="end"/>
      </w:r>
      <w:r>
        <w:t xml:space="preserve"> - Pipe granular bedding material grading</w:t>
      </w:r>
      <w:bookmarkEnd w:id="33"/>
      <w:bookmarkEnd w:id="34"/>
      <w:r>
        <w:br/>
      </w:r>
    </w:p>
    <w:p w14:paraId="0697BF18" w14:textId="77777777" w:rsidR="0082682D" w:rsidRPr="0082682D" w:rsidRDefault="00E657F5" w:rsidP="0082682D">
      <w:pPr>
        <w:pStyle w:val="Bullet"/>
      </w:pPr>
      <w:r w:rsidRPr="0082682D">
        <w:t>The material to be used for bedding and surround for concrete pipes shall have a water-soluble sulphate content of less than 0.38% of sulphate (as SO3) when tested in accordance with BS EN 1744-1:2009, Clause 10.</w:t>
      </w:r>
    </w:p>
    <w:p w14:paraId="068AB5DE" w14:textId="77777777" w:rsidR="0082682D" w:rsidRDefault="0082682D" w:rsidP="0082682D">
      <w:pPr>
        <w:pStyle w:val="Bullet"/>
        <w:numPr>
          <w:ilvl w:val="0"/>
          <w:numId w:val="0"/>
        </w:numPr>
        <w:rPr>
          <w:iCs/>
        </w:rPr>
      </w:pPr>
    </w:p>
    <w:p w14:paraId="126FB754" w14:textId="77777777" w:rsidR="00292BFA" w:rsidRPr="00292BFA" w:rsidRDefault="00E657F5" w:rsidP="0082682D">
      <w:pPr>
        <w:pStyle w:val="Bullet"/>
        <w:numPr>
          <w:ilvl w:val="0"/>
          <w:numId w:val="0"/>
        </w:numPr>
      </w:pPr>
      <w:r w:rsidRPr="00292BFA">
        <w:rPr>
          <w:iCs/>
        </w:rPr>
        <w:t>Concrete for pipe bedding shall be mix ST4, medium workability.</w:t>
      </w:r>
    </w:p>
    <w:p w14:paraId="62D8D566" w14:textId="77777777" w:rsidR="00292BFA" w:rsidRDefault="00E657F5" w:rsidP="00A02DF7">
      <w:pPr>
        <w:pStyle w:val="Heading2"/>
        <w:ind w:left="1021" w:hanging="1021"/>
      </w:pPr>
      <w:bookmarkStart w:id="35" w:name="_Toc87942669"/>
      <w:r>
        <w:t>Manhole covers and frames</w:t>
      </w:r>
      <w:bookmarkEnd w:id="35"/>
    </w:p>
    <w:p w14:paraId="337F99A0" w14:textId="77777777" w:rsidR="00292BFA" w:rsidRPr="0082682D" w:rsidRDefault="00E657F5" w:rsidP="0082682D">
      <w:pPr>
        <w:pStyle w:val="BodyText"/>
        <w:rPr>
          <w:lang w:eastAsia="en-GB"/>
        </w:rPr>
      </w:pPr>
      <w:r w:rsidRPr="0082682D">
        <w:rPr>
          <w:lang w:eastAsia="en-GB"/>
        </w:rPr>
        <w:t xml:space="preserve">Manhole covers and frames shall have a minimum 600mm square clear opening and shall and frames comply with BS EN 124:2015 and shall be marked with the BS Kitemark or </w:t>
      </w:r>
      <w:r w:rsidR="004355DA" w:rsidRPr="004355DA">
        <w:rPr>
          <w:lang w:eastAsia="en-GB"/>
        </w:rPr>
        <w:t>Lloyd's Register Quality Assurance</w:t>
      </w:r>
      <w:r w:rsidR="004355DA">
        <w:rPr>
          <w:lang w:eastAsia="en-GB"/>
        </w:rPr>
        <w:t xml:space="preserve"> (</w:t>
      </w:r>
      <w:r w:rsidRPr="0082682D">
        <w:rPr>
          <w:lang w:eastAsia="en-GB"/>
        </w:rPr>
        <w:t>LRQA</w:t>
      </w:r>
      <w:r w:rsidR="004355DA">
        <w:rPr>
          <w:lang w:eastAsia="en-GB"/>
        </w:rPr>
        <w:t>)</w:t>
      </w:r>
      <w:r w:rsidRPr="0082682D">
        <w:rPr>
          <w:lang w:eastAsia="en-GB"/>
        </w:rPr>
        <w:t>. All covers shall be to Class D400 and shall provide a permanent non rock performance whilst in operation. All covers shall be made from ductile iron with no infilling.</w:t>
      </w:r>
    </w:p>
    <w:p w14:paraId="4135545C" w14:textId="77777777" w:rsidR="00292BFA" w:rsidRPr="0082682D" w:rsidRDefault="00E657F5" w:rsidP="0082682D">
      <w:pPr>
        <w:pStyle w:val="BodyText"/>
        <w:rPr>
          <w:lang w:eastAsia="en-GB"/>
        </w:rPr>
      </w:pPr>
      <w:r w:rsidRPr="0082682D">
        <w:rPr>
          <w:lang w:eastAsia="en-GB"/>
        </w:rPr>
        <w:t>Manhole covers in carriageways shall have a minimum depth of frame of 150mm and shall be capable of supporting without fracture an additional test load of 400kN with the 250mm diameter test load bearing block placed in any position wholly within the perimeter of the cover section.</w:t>
      </w:r>
    </w:p>
    <w:p w14:paraId="35F220F8" w14:textId="77777777" w:rsidR="00292BFA" w:rsidRPr="0082682D" w:rsidRDefault="00E657F5" w:rsidP="0082682D">
      <w:pPr>
        <w:pStyle w:val="BodyText"/>
        <w:rPr>
          <w:lang w:eastAsia="en-GB"/>
        </w:rPr>
      </w:pPr>
      <w:r w:rsidRPr="0082682D">
        <w:rPr>
          <w:lang w:eastAsia="en-GB"/>
        </w:rPr>
        <w:t>Manhole covers in footways and verges shall have a minimum depth of frame of 100mm and shall be capable of supporting without fracture an additional test load of 350kN with the 300mm diameter test load bearing block placed in any position wholly within the perimeter of the cover section.</w:t>
      </w:r>
    </w:p>
    <w:p w14:paraId="24E791E1" w14:textId="77777777" w:rsidR="00292BFA" w:rsidRPr="0082682D" w:rsidRDefault="00E657F5" w:rsidP="0082682D">
      <w:pPr>
        <w:pStyle w:val="BodyText"/>
        <w:rPr>
          <w:lang w:eastAsia="en-GB"/>
        </w:rPr>
      </w:pPr>
      <w:r w:rsidRPr="0082682D">
        <w:rPr>
          <w:lang w:eastAsia="en-GB"/>
        </w:rPr>
        <w:t xml:space="preserve">Manhole covers and frames shall be bedded on polyester resin mortar to Clause 2.3.  </w:t>
      </w:r>
      <w:r w:rsidRPr="00513E55">
        <w:rPr>
          <w:lang w:eastAsia="en-GB"/>
        </w:rPr>
        <w:t>They shall be accurately set for level and position as necessary</w:t>
      </w:r>
      <w:r w:rsidR="005D3E30" w:rsidRPr="00513E55">
        <w:rPr>
          <w:lang w:eastAsia="en-GB"/>
        </w:rPr>
        <w:t xml:space="preserve"> on precast concrete adjusting units conforming to BS EN 1917:2002 and BS 5911-3:2010</w:t>
      </w:r>
      <w:r w:rsidR="005D3E30" w:rsidRPr="005D3E30">
        <w:rPr>
          <w:lang w:eastAsia="en-GB"/>
        </w:rPr>
        <w:t>.</w:t>
      </w:r>
    </w:p>
    <w:p w14:paraId="62D418A9" w14:textId="77777777" w:rsidR="00292BFA" w:rsidRDefault="00E657F5" w:rsidP="00A02DF7">
      <w:pPr>
        <w:pStyle w:val="Heading2"/>
        <w:ind w:left="1021" w:hanging="1021"/>
      </w:pPr>
      <w:bookmarkStart w:id="36" w:name="_Toc87942670"/>
      <w:r>
        <w:t>Fibre Board</w:t>
      </w:r>
      <w:bookmarkEnd w:id="36"/>
    </w:p>
    <w:p w14:paraId="7DC306DF" w14:textId="77777777" w:rsidR="00292BFA" w:rsidRPr="005D3E30" w:rsidRDefault="00E657F5" w:rsidP="005D3E30">
      <w:pPr>
        <w:pStyle w:val="BodyText"/>
        <w:rPr>
          <w:lang w:eastAsia="en-GB"/>
        </w:rPr>
      </w:pPr>
      <w:r w:rsidRPr="005D3E30">
        <w:rPr>
          <w:lang w:eastAsia="en-GB"/>
        </w:rPr>
        <w:t>Fibre board for use at pipe joints to preserve the flexibility of concrete protected pipelines shall be bitumen impregnated fibre building board complying with BS EN 622-4:2019, or other similar material approved by the Engineer.</w:t>
      </w:r>
    </w:p>
    <w:p w14:paraId="3DEBA667" w14:textId="77777777" w:rsidR="00292BFA" w:rsidRPr="00E43374" w:rsidRDefault="00E657F5" w:rsidP="00A02DF7">
      <w:pPr>
        <w:pStyle w:val="Heading2"/>
        <w:ind w:left="1021" w:hanging="1021"/>
      </w:pPr>
      <w:bookmarkStart w:id="37" w:name="_Toc87942671"/>
      <w:r w:rsidRPr="00E43374">
        <w:t>Puddle Clay</w:t>
      </w:r>
      <w:bookmarkEnd w:id="37"/>
    </w:p>
    <w:p w14:paraId="145B8DF8" w14:textId="77777777" w:rsidR="00292BFA" w:rsidRPr="008E2B3F" w:rsidRDefault="00E657F5" w:rsidP="008E2B3F">
      <w:pPr>
        <w:pStyle w:val="BodyText"/>
        <w:rPr>
          <w:lang w:eastAsia="en-GB"/>
        </w:rPr>
      </w:pPr>
      <w:r w:rsidRPr="008E2B3F">
        <w:rPr>
          <w:lang w:eastAsia="en-GB"/>
        </w:rPr>
        <w:t xml:space="preserve">Puddle clay shall be produced from a clay with a liquid limit between 30 and 60 and a plasticity index which is greater than the difference between 0.73 times the liquid limit and 15.  It shall be free from </w:t>
      </w:r>
      <w:r w:rsidR="00AA50C0" w:rsidRPr="008E2B3F">
        <w:rPr>
          <w:lang w:eastAsia="en-GB"/>
        </w:rPr>
        <w:t>topsoil</w:t>
      </w:r>
      <w:r w:rsidRPr="008E2B3F">
        <w:rPr>
          <w:lang w:eastAsia="en-GB"/>
        </w:rPr>
        <w:t xml:space="preserve">, roots, </w:t>
      </w:r>
      <w:r w:rsidR="00AA50C0" w:rsidRPr="008E2B3F">
        <w:rPr>
          <w:lang w:eastAsia="en-GB"/>
        </w:rPr>
        <w:t>peat,</w:t>
      </w:r>
      <w:r w:rsidRPr="008E2B3F">
        <w:rPr>
          <w:lang w:eastAsia="en-GB"/>
        </w:rPr>
        <w:t xml:space="preserve"> and any other organic soluble material.  It shall also be free from boulders, </w:t>
      </w:r>
      <w:r w:rsidR="00AA50C0" w:rsidRPr="008E2B3F">
        <w:rPr>
          <w:lang w:eastAsia="en-GB"/>
        </w:rPr>
        <w:t>cobbles,</w:t>
      </w:r>
      <w:r w:rsidRPr="008E2B3F">
        <w:rPr>
          <w:lang w:eastAsia="en-GB"/>
        </w:rPr>
        <w:t xml:space="preserve"> and gravel </w:t>
      </w:r>
      <w:r w:rsidRPr="00CA7EDB">
        <w:rPr>
          <w:lang w:eastAsia="en-GB"/>
        </w:rPr>
        <w:t>exceeding 20mm in size and shall have a clay fraction, as measured in accordance with BS</w:t>
      </w:r>
      <w:r w:rsidR="004355DA">
        <w:rPr>
          <w:lang w:eastAsia="en-GB"/>
        </w:rPr>
        <w:t xml:space="preserve"> </w:t>
      </w:r>
      <w:r w:rsidRPr="00CA7EDB">
        <w:rPr>
          <w:lang w:eastAsia="en-GB"/>
        </w:rPr>
        <w:t>1377</w:t>
      </w:r>
      <w:r w:rsidRPr="008E2B3F">
        <w:rPr>
          <w:lang w:eastAsia="en-GB"/>
        </w:rPr>
        <w:t>, greater than 30%.</w:t>
      </w:r>
    </w:p>
    <w:p w14:paraId="176220B0" w14:textId="77777777" w:rsidR="00292BFA" w:rsidRPr="008E2B3F" w:rsidRDefault="00E657F5" w:rsidP="008E2B3F">
      <w:pPr>
        <w:pStyle w:val="BodyText"/>
        <w:rPr>
          <w:lang w:eastAsia="en-GB"/>
        </w:rPr>
      </w:pPr>
      <w:r w:rsidRPr="008E2B3F">
        <w:rPr>
          <w:lang w:eastAsia="en-GB"/>
        </w:rPr>
        <w:t>Water shall be added as required and the clay worked by a manual or a mechanical method (such as a pugmill or repeated working over by tracked plant) to produce a homogeneous watertight material of a suitable consistency for placing in the Works.</w:t>
      </w:r>
    </w:p>
    <w:p w14:paraId="2A8CBF41" w14:textId="77777777" w:rsidR="00292BFA" w:rsidRPr="008E2B3F" w:rsidRDefault="00E657F5" w:rsidP="008E2B3F">
      <w:pPr>
        <w:pStyle w:val="BodyText"/>
        <w:rPr>
          <w:lang w:eastAsia="en-GB"/>
        </w:rPr>
      </w:pPr>
      <w:r w:rsidRPr="008E2B3F">
        <w:rPr>
          <w:lang w:eastAsia="en-GB"/>
        </w:rPr>
        <w:t>After working and immediately prior to placing, the material shall be subject to the approval of the Engineer.</w:t>
      </w:r>
    </w:p>
    <w:p w14:paraId="7491E6BE" w14:textId="77777777" w:rsidR="00292BFA" w:rsidRDefault="00E657F5" w:rsidP="00A02DF7">
      <w:pPr>
        <w:pStyle w:val="Heading2"/>
        <w:ind w:left="1021" w:hanging="1021"/>
      </w:pPr>
      <w:bookmarkStart w:id="38" w:name="_Toc87942672"/>
      <w:r>
        <w:t>Precast Concrete Setting Blocks or Pipes</w:t>
      </w:r>
      <w:bookmarkEnd w:id="38"/>
    </w:p>
    <w:p w14:paraId="1C4E07D4" w14:textId="77777777" w:rsidR="00292BFA" w:rsidRPr="008E2B3F" w:rsidRDefault="00E657F5" w:rsidP="008E2B3F">
      <w:pPr>
        <w:pStyle w:val="BodyText"/>
        <w:rPr>
          <w:lang w:eastAsia="en-GB"/>
        </w:rPr>
      </w:pPr>
      <w:r w:rsidRPr="008E2B3F">
        <w:rPr>
          <w:lang w:eastAsia="en-GB"/>
        </w:rPr>
        <w:t>Blocks shall have rectangular faces and have sufficient plan area to prevent punching of the Setting Blocks blinding concrete or formation.  They shall be cast in an approved mould and shall not be used until they have achieved a crushing strength of 13.5MN/m2 determined from 150mm cubes cast and cured under identical conditions.</w:t>
      </w:r>
    </w:p>
    <w:p w14:paraId="788F0CC8" w14:textId="77777777" w:rsidR="00292BFA" w:rsidRDefault="00E657F5" w:rsidP="00A02DF7">
      <w:pPr>
        <w:pStyle w:val="Heading2"/>
        <w:ind w:left="1021" w:hanging="1021"/>
      </w:pPr>
      <w:bookmarkStart w:id="39" w:name="_Toc87942673"/>
      <w:r>
        <w:t>Types of Gully Chambers</w:t>
      </w:r>
      <w:bookmarkEnd w:id="39"/>
    </w:p>
    <w:p w14:paraId="22EA3A69" w14:textId="77777777" w:rsidR="00292BFA" w:rsidRPr="008E2B3F" w:rsidRDefault="00E657F5" w:rsidP="008E2B3F">
      <w:pPr>
        <w:pStyle w:val="BodyText"/>
        <w:rPr>
          <w:lang w:eastAsia="en-GB"/>
        </w:rPr>
      </w:pPr>
      <w:r w:rsidRPr="008E2B3F">
        <w:rPr>
          <w:lang w:eastAsia="en-GB"/>
        </w:rPr>
        <w:t>Gully chambers for carriageways shall be:</w:t>
      </w:r>
    </w:p>
    <w:p w14:paraId="0ECF9B66" w14:textId="77777777" w:rsidR="00292BFA" w:rsidRDefault="00E657F5" w:rsidP="008E2B3F">
      <w:pPr>
        <w:pStyle w:val="Bullet"/>
      </w:pPr>
      <w:r>
        <w:t xml:space="preserve">Pre-cast concrete gully and cover slabs to BS 5911-6. 450mm diameter x 760mm deep with 150mm diameter outlet, complete with rodding eye stopper. </w:t>
      </w:r>
    </w:p>
    <w:p w14:paraId="4D8955F2" w14:textId="77777777" w:rsidR="008042B5" w:rsidRDefault="00E657F5" w:rsidP="008042B5">
      <w:pPr>
        <w:pStyle w:val="Bullet"/>
      </w:pPr>
      <w:r>
        <w:t>In-situ cast gully formed by plastic rising liner with minimum thickness of 150mm ST4 concrete bed and surround. ST concrete to MCHW</w:t>
      </w:r>
      <w:r w:rsidR="009A194C">
        <w:t xml:space="preserve"> (Manual of Contract Documents for Highway Works)</w:t>
      </w:r>
      <w:r>
        <w:t xml:space="preserve"> Clause 2602.</w:t>
      </w:r>
    </w:p>
    <w:p w14:paraId="28B3001B" w14:textId="77777777" w:rsidR="008042B5" w:rsidRDefault="008042B5" w:rsidP="008042B5">
      <w:pPr>
        <w:pStyle w:val="Bullet"/>
        <w:numPr>
          <w:ilvl w:val="0"/>
          <w:numId w:val="0"/>
        </w:numPr>
        <w:ind w:left="3"/>
      </w:pPr>
    </w:p>
    <w:p w14:paraId="7617C174" w14:textId="77777777" w:rsidR="00292BFA" w:rsidRPr="008042B5" w:rsidRDefault="00E657F5" w:rsidP="008042B5">
      <w:pPr>
        <w:pStyle w:val="Bullet"/>
        <w:numPr>
          <w:ilvl w:val="0"/>
          <w:numId w:val="0"/>
        </w:numPr>
        <w:ind w:left="3"/>
      </w:pPr>
      <w:r w:rsidRPr="008042B5">
        <w:rPr>
          <w:iCs/>
        </w:rPr>
        <w:t>Mortar bedding to comply with MCHW Clause 507</w:t>
      </w:r>
      <w:r w:rsidR="00DF19BD">
        <w:rPr>
          <w:iCs/>
        </w:rPr>
        <w:t>.</w:t>
      </w:r>
      <w:r w:rsidRPr="008042B5">
        <w:rPr>
          <w:iCs/>
        </w:rPr>
        <w:t xml:space="preserve"> </w:t>
      </w:r>
    </w:p>
    <w:p w14:paraId="08658172" w14:textId="77777777" w:rsidR="00292BFA" w:rsidRPr="003E5357" w:rsidRDefault="00E657F5" w:rsidP="003E5357">
      <w:pPr>
        <w:pStyle w:val="BodyText"/>
        <w:rPr>
          <w:lang w:eastAsia="en-GB"/>
        </w:rPr>
      </w:pPr>
      <w:r w:rsidRPr="003E5357">
        <w:rPr>
          <w:lang w:eastAsia="en-GB"/>
        </w:rPr>
        <w:t>Gully chambers shall have external traps, unless the Engineer approves un</w:t>
      </w:r>
      <w:r w:rsidR="005D3E30">
        <w:rPr>
          <w:lang w:eastAsia="en-GB"/>
        </w:rPr>
        <w:t>-</w:t>
      </w:r>
      <w:r w:rsidRPr="003E5357">
        <w:rPr>
          <w:lang w:eastAsia="en-GB"/>
        </w:rPr>
        <w:t>trapped chambers where the connection is to a surface water drain and not to a foul sewer.</w:t>
      </w:r>
    </w:p>
    <w:p w14:paraId="3923A118" w14:textId="77777777" w:rsidR="00292BFA" w:rsidRPr="00DF693B" w:rsidRDefault="00E657F5" w:rsidP="00A02DF7">
      <w:pPr>
        <w:pStyle w:val="Heading2"/>
        <w:ind w:left="1021" w:hanging="1021"/>
      </w:pPr>
      <w:bookmarkStart w:id="40" w:name="_Toc87942674"/>
      <w:r>
        <w:t>Gully Grates and Frames</w:t>
      </w:r>
      <w:bookmarkEnd w:id="40"/>
    </w:p>
    <w:p w14:paraId="26E7F5C7" w14:textId="77777777" w:rsidR="00292BFA" w:rsidRPr="005D3E30" w:rsidRDefault="00E657F5" w:rsidP="005D3E30">
      <w:pPr>
        <w:pStyle w:val="BodyText"/>
        <w:rPr>
          <w:lang w:eastAsia="en-GB"/>
        </w:rPr>
      </w:pPr>
      <w:r w:rsidRPr="005D3E30">
        <w:rPr>
          <w:lang w:eastAsia="en-GB"/>
        </w:rPr>
        <w:t>All gully gratings shall be end hinged at the end nearest the oncoming traffic and shall be captive within the frame.</w:t>
      </w:r>
    </w:p>
    <w:p w14:paraId="2BCCA7E3" w14:textId="77777777" w:rsidR="00292BFA" w:rsidRPr="005D3E30" w:rsidRDefault="00E657F5" w:rsidP="005D3E30">
      <w:pPr>
        <w:pStyle w:val="BodyText"/>
        <w:rPr>
          <w:lang w:eastAsia="en-GB"/>
        </w:rPr>
      </w:pPr>
      <w:r w:rsidRPr="005D3E30">
        <w:rPr>
          <w:lang w:eastAsia="en-GB"/>
        </w:rPr>
        <w:t>Gully gratings and frames shall comply with BS EN 124:2015 Class D400 and shall be marked with the BS Kitemark or LRQA and shall provide a permanent non rock performance whilst in operation.  All gully grates and frames shall be made from ductile iron and shall have a minimum depth of frame of 100mm and a minimum waterway area of 1020cm2.</w:t>
      </w:r>
    </w:p>
    <w:p w14:paraId="65518C13" w14:textId="77777777" w:rsidR="00292BFA" w:rsidRPr="005D3E30" w:rsidRDefault="00E657F5" w:rsidP="005D3E30">
      <w:pPr>
        <w:pStyle w:val="BodyText"/>
        <w:rPr>
          <w:lang w:eastAsia="en-GB"/>
        </w:rPr>
      </w:pPr>
      <w:r w:rsidRPr="005D3E30">
        <w:rPr>
          <w:lang w:eastAsia="en-GB"/>
        </w:rPr>
        <w:t xml:space="preserve">The grating and frame shall be capable of supporting without fracture an additional test load of </w:t>
      </w:r>
      <w:r w:rsidR="00B274C4">
        <w:rPr>
          <w:lang w:eastAsia="en-GB"/>
        </w:rPr>
        <w:t>40</w:t>
      </w:r>
      <w:r w:rsidRPr="005D3E30">
        <w:rPr>
          <w:lang w:eastAsia="en-GB"/>
        </w:rPr>
        <w:t>0kN with the 300mm x 235mm test load bearing block placed at any position wholly within the perimeter of the grating section</w:t>
      </w:r>
    </w:p>
    <w:p w14:paraId="0477A23A" w14:textId="77777777" w:rsidR="00292BFA" w:rsidRPr="005D3E30" w:rsidRDefault="00E657F5" w:rsidP="005D3E30">
      <w:pPr>
        <w:pStyle w:val="BodyText"/>
        <w:rPr>
          <w:lang w:eastAsia="en-GB"/>
        </w:rPr>
      </w:pPr>
      <w:r w:rsidRPr="005D3E30">
        <w:rPr>
          <w:lang w:eastAsia="en-GB"/>
        </w:rPr>
        <w:t>Gully grates and frames for footways shall be 225mm square, hinged to BS EN 124:2015.</w:t>
      </w:r>
    </w:p>
    <w:p w14:paraId="7C973F11" w14:textId="77777777" w:rsidR="005D3E30" w:rsidRPr="005D3E30" w:rsidRDefault="00E657F5" w:rsidP="005D3E30">
      <w:pPr>
        <w:pStyle w:val="BodyText"/>
        <w:rPr>
          <w:lang w:eastAsia="en-GB"/>
        </w:rPr>
      </w:pPr>
      <w:r w:rsidRPr="005D3E30">
        <w:rPr>
          <w:lang w:eastAsia="en-GB"/>
        </w:rPr>
        <w:t>Gratings to be raised on precast concrete adjusting units conforming to BS EN 1917:2002 and BS 5911-3:2010.</w:t>
      </w:r>
    </w:p>
    <w:p w14:paraId="515B71A0" w14:textId="77777777" w:rsidR="005D3E30" w:rsidRPr="005D3E30" w:rsidRDefault="005D3E30" w:rsidP="005D3E30">
      <w:pPr>
        <w:pStyle w:val="BodyText"/>
      </w:pPr>
    </w:p>
    <w:p w14:paraId="3C22EA1B" w14:textId="77777777" w:rsidR="00292BFA" w:rsidRDefault="00E657F5" w:rsidP="00A02DF7">
      <w:pPr>
        <w:pStyle w:val="Heading2"/>
        <w:ind w:left="1021" w:hanging="1021"/>
      </w:pPr>
      <w:bookmarkStart w:id="41" w:name="_Toc87942675"/>
      <w:r>
        <w:t>Excavation for Pipelines and Manholes</w:t>
      </w:r>
      <w:bookmarkEnd w:id="41"/>
    </w:p>
    <w:p w14:paraId="227BE5A0" w14:textId="77777777" w:rsidR="00292BFA" w:rsidRPr="005D3E30" w:rsidRDefault="00E657F5" w:rsidP="005D3E30">
      <w:pPr>
        <w:pStyle w:val="BodyText"/>
        <w:rPr>
          <w:lang w:eastAsia="en-GB"/>
        </w:rPr>
      </w:pPr>
      <w:r w:rsidRPr="005D3E30">
        <w:rPr>
          <w:lang w:eastAsia="en-GB"/>
        </w:rPr>
        <w:t xml:space="preserve">Excavation in trenches and pits within the boundaries of highways to be adopted shall be made with vertical sides unless the specific approval of the Engineer is obtained to use Manholes battered sides.  </w:t>
      </w:r>
    </w:p>
    <w:p w14:paraId="06250079" w14:textId="77777777" w:rsidR="00292BFA" w:rsidRDefault="00E657F5" w:rsidP="005D3E30">
      <w:pPr>
        <w:pStyle w:val="BodyText"/>
        <w:rPr>
          <w:lang w:eastAsia="en-GB"/>
        </w:rPr>
      </w:pPr>
      <w:r w:rsidRPr="005D3E30">
        <w:rPr>
          <w:lang w:eastAsia="en-GB"/>
        </w:rPr>
        <w:t>Trenches shall be true to line and gradient as shown on the drawings approved by the Engineer and the width and depth shall not exceed that required to contain the permanent work except where special provision is made for additional excavation for working space or the Engineer orders extra width or depth for the proper construction of the work or for inspections or tests.</w:t>
      </w:r>
    </w:p>
    <w:p w14:paraId="548FD129" w14:textId="77777777" w:rsidR="00A52571" w:rsidRPr="005D3E30" w:rsidRDefault="00E657F5" w:rsidP="005D3E30">
      <w:pPr>
        <w:pStyle w:val="BodyText"/>
        <w:rPr>
          <w:lang w:eastAsia="en-GB"/>
        </w:rPr>
      </w:pPr>
      <w:r>
        <w:rPr>
          <w:lang w:eastAsia="en-GB"/>
        </w:rPr>
        <w:t>The width of trenches shall be</w:t>
      </w:r>
      <w:r w:rsidR="004412A8">
        <w:rPr>
          <w:lang w:eastAsia="en-GB"/>
        </w:rPr>
        <w:t xml:space="preserve"> a maximum of</w:t>
      </w:r>
      <w:r>
        <w:rPr>
          <w:lang w:eastAsia="en-GB"/>
        </w:rPr>
        <w:t xml:space="preserve"> the external diameter of the pipe +600</w:t>
      </w:r>
      <w:r w:rsidR="004412A8">
        <w:rPr>
          <w:lang w:eastAsia="en-GB"/>
        </w:rPr>
        <w:t>mm, and a minimum of the external diameter of the pipe +300mm.</w:t>
      </w:r>
    </w:p>
    <w:p w14:paraId="2C57FC5F" w14:textId="77777777" w:rsidR="00292BFA" w:rsidRPr="00512EC6" w:rsidRDefault="00E657F5" w:rsidP="005D3E30">
      <w:pPr>
        <w:pStyle w:val="BodyText"/>
        <w:rPr>
          <w:lang w:eastAsia="en-GB"/>
        </w:rPr>
      </w:pPr>
      <w:r w:rsidRPr="005D3E30">
        <w:rPr>
          <w:lang w:eastAsia="en-GB"/>
        </w:rPr>
        <w:t xml:space="preserve">Where trenches are cut with stepped or battered sides the steps or batters shall commence a minimum distance of 300mm measured vertically above the crown of the pipe when laid in its correct position.  Below this position trenches shall be cut with vertical sides </w:t>
      </w:r>
    </w:p>
    <w:p w14:paraId="46798042" w14:textId="77777777" w:rsidR="00292BFA" w:rsidRPr="005D3E30" w:rsidRDefault="00E657F5" w:rsidP="005D3E30">
      <w:pPr>
        <w:pStyle w:val="BodyText"/>
        <w:rPr>
          <w:lang w:eastAsia="en-GB"/>
        </w:rPr>
      </w:pPr>
      <w:r w:rsidRPr="005D3E30">
        <w:rPr>
          <w:lang w:eastAsia="en-GB"/>
        </w:rPr>
        <w:t>The last 150mm of excavation to formation level shall not be removed until the Developer is ready to commence construction of the permanent works.</w:t>
      </w:r>
    </w:p>
    <w:p w14:paraId="3E3A4336" w14:textId="77777777" w:rsidR="00292BFA" w:rsidRDefault="00E657F5" w:rsidP="00A02DF7">
      <w:pPr>
        <w:pStyle w:val="Heading2"/>
        <w:ind w:left="1021" w:hanging="1021"/>
      </w:pPr>
      <w:bookmarkStart w:id="42" w:name="_Toc87942676"/>
      <w:r>
        <w:t>Support of Excavations</w:t>
      </w:r>
      <w:bookmarkEnd w:id="42"/>
    </w:p>
    <w:p w14:paraId="5C314349" w14:textId="77777777" w:rsidR="00292BFA" w:rsidRPr="005D3E30" w:rsidRDefault="00E657F5" w:rsidP="005D3E30">
      <w:pPr>
        <w:pStyle w:val="BodyText"/>
        <w:rPr>
          <w:lang w:eastAsia="en-GB"/>
        </w:rPr>
      </w:pPr>
      <w:r w:rsidRPr="005D3E30">
        <w:rPr>
          <w:lang w:eastAsia="en-GB"/>
        </w:rPr>
        <w:t>The Developer shall supply and fix outside the limits of the permanent work sufficient timbering</w:t>
      </w:r>
      <w:r w:rsidR="00394115">
        <w:rPr>
          <w:lang w:eastAsia="en-GB"/>
        </w:rPr>
        <w:t xml:space="preserve"> </w:t>
      </w:r>
      <w:r w:rsidRPr="005D3E30">
        <w:rPr>
          <w:lang w:eastAsia="en-GB"/>
        </w:rPr>
        <w:t>and other support necessary to permit the proper construction of the permanent work.  The Developer shall give reasonable notice of intention to withdraw support of any kind and shall not proceed with the withdrawal until the excavation and permanent works have been inspected by the Engineer. Support shall conform to BS</w:t>
      </w:r>
      <w:r w:rsidR="00E254DE">
        <w:rPr>
          <w:lang w:eastAsia="en-GB"/>
        </w:rPr>
        <w:t xml:space="preserve"> </w:t>
      </w:r>
      <w:r w:rsidRPr="005D3E30">
        <w:rPr>
          <w:lang w:eastAsia="en-GB"/>
        </w:rPr>
        <w:t>6031:2009.</w:t>
      </w:r>
    </w:p>
    <w:p w14:paraId="68EF2B19" w14:textId="77777777" w:rsidR="00292BFA" w:rsidRDefault="00E657F5" w:rsidP="00A02DF7">
      <w:pPr>
        <w:pStyle w:val="Heading2"/>
        <w:ind w:left="1021" w:hanging="1021"/>
      </w:pPr>
      <w:bookmarkStart w:id="43" w:name="_Toc87942677"/>
      <w:r>
        <w:t>Treatment of over-break and slips</w:t>
      </w:r>
      <w:bookmarkEnd w:id="43"/>
    </w:p>
    <w:p w14:paraId="3A554748" w14:textId="77777777" w:rsidR="00292BFA" w:rsidRPr="005D3E30" w:rsidRDefault="00E657F5" w:rsidP="005D3E30">
      <w:pPr>
        <w:pStyle w:val="BodyText"/>
        <w:rPr>
          <w:lang w:eastAsia="en-GB"/>
        </w:rPr>
      </w:pPr>
      <w:r w:rsidRPr="005D3E30">
        <w:rPr>
          <w:lang w:eastAsia="en-GB"/>
        </w:rPr>
        <w:t>In the event of an over break or slip occurring, or the Developer allowing material at, or below, overbreak and the trench, or pit bottom to become unsuitable, all the loose, disturbed, or unsuitable material slips shall be removed, the excavation trimmed back to vertical faces and the excess excavation treated as follows:</w:t>
      </w:r>
    </w:p>
    <w:p w14:paraId="749C6FE4" w14:textId="77777777" w:rsidR="00B72345" w:rsidRDefault="00E657F5" w:rsidP="00A02DF7">
      <w:pPr>
        <w:pStyle w:val="Bullet"/>
        <w:numPr>
          <w:ilvl w:val="0"/>
          <w:numId w:val="6"/>
        </w:numPr>
      </w:pPr>
      <w:r w:rsidRPr="005D3E30">
        <w:t>In the bottom of the trench or pit the excess excavation shall be filled with mix</w:t>
      </w:r>
      <w:r w:rsidR="005D3E30">
        <w:t xml:space="preserve"> </w:t>
      </w:r>
      <w:r w:rsidRPr="005D3E30">
        <w:t xml:space="preserve">ST2 concrete, medium workability. Where in the opinion of the Engineer satisfactory support can be achieved, pipe bedding material </w:t>
      </w:r>
      <w:r w:rsidR="007C200B">
        <w:t xml:space="preserve">as per </w:t>
      </w:r>
      <w:r w:rsidR="00D446F3">
        <w:t>C</w:t>
      </w:r>
      <w:r w:rsidRPr="005D3E30">
        <w:t>lause 3.5 may be used as an alternative</w:t>
      </w:r>
      <w:r w:rsidR="00E37598">
        <w:t>.</w:t>
      </w:r>
      <w:r w:rsidR="005D3E30">
        <w:t xml:space="preserve"> </w:t>
      </w:r>
    </w:p>
    <w:p w14:paraId="307D7CC2" w14:textId="77777777" w:rsidR="00292BFA" w:rsidRPr="005D3E30" w:rsidRDefault="00E657F5" w:rsidP="005D3E30">
      <w:pPr>
        <w:pStyle w:val="Bullet"/>
      </w:pPr>
      <w:r w:rsidRPr="005D3E30">
        <w:t>Where the trench or pit is to contain a pipe or manhole which is to have a concrete protection, any excess width of excavation shall be filled with extra concrete as part of the surround or protection.</w:t>
      </w:r>
    </w:p>
    <w:p w14:paraId="5927ECED" w14:textId="77777777" w:rsidR="00292BFA" w:rsidRPr="00512EC6" w:rsidRDefault="00E657F5" w:rsidP="005D3E30">
      <w:pPr>
        <w:pStyle w:val="Bullet"/>
      </w:pPr>
      <w:r w:rsidRPr="005D3E30">
        <w:t xml:space="preserve">Where the pipe or manhole is not to have a concrete protection the excess width of </w:t>
      </w:r>
      <w:r w:rsidR="00E37598">
        <w:t>o</w:t>
      </w:r>
      <w:r w:rsidR="00E37598" w:rsidRPr="005D3E30">
        <w:t>ver</w:t>
      </w:r>
      <w:r w:rsidRPr="005D3E30">
        <w:t xml:space="preserve">-break and excavation shall be filled with mix ST2 concrete, medium workability, or filled in the </w:t>
      </w:r>
      <w:r w:rsidR="00AA50C0" w:rsidRPr="005D3E30">
        <w:t>slip's</w:t>
      </w:r>
      <w:r w:rsidRPr="005D3E30">
        <w:t xml:space="preserve"> same manner as the trench or pit of which the over</w:t>
      </w:r>
      <w:r w:rsidR="00E37598">
        <w:t>-</w:t>
      </w:r>
      <w:r w:rsidRPr="005D3E30">
        <w:t>break is part, as directed by the Engineer.</w:t>
      </w:r>
    </w:p>
    <w:p w14:paraId="6BB920C1" w14:textId="77777777" w:rsidR="00292BFA" w:rsidRPr="00512EC6" w:rsidRDefault="00E657F5" w:rsidP="005D3E30">
      <w:pPr>
        <w:pStyle w:val="Bullet"/>
      </w:pPr>
      <w:r w:rsidRPr="003B586D">
        <w:t>Excess excavation above the pipe or surround shall be filled in the same manner as the trench or pit of which the excess is part with the prior approval of the Engineer.</w:t>
      </w:r>
    </w:p>
    <w:p w14:paraId="382A7217" w14:textId="77777777" w:rsidR="00292BFA" w:rsidRPr="00512EC6" w:rsidRDefault="00E657F5" w:rsidP="00A02DF7">
      <w:pPr>
        <w:pStyle w:val="Heading2"/>
        <w:ind w:left="1021" w:hanging="1021"/>
      </w:pPr>
      <w:bookmarkStart w:id="44" w:name="_Toc87942678"/>
      <w:r w:rsidRPr="00512EC6">
        <w:t>Separation and protection of excavated material for reuse</w:t>
      </w:r>
      <w:bookmarkEnd w:id="44"/>
    </w:p>
    <w:p w14:paraId="4F67BE70" w14:textId="77777777" w:rsidR="00292BFA" w:rsidRPr="00CB64A4" w:rsidRDefault="00E657F5" w:rsidP="00CB64A4">
      <w:pPr>
        <w:pStyle w:val="BodyText"/>
        <w:rPr>
          <w:lang w:eastAsia="en-GB"/>
        </w:rPr>
      </w:pPr>
      <w:r w:rsidRPr="00CB64A4">
        <w:rPr>
          <w:lang w:eastAsia="en-GB"/>
        </w:rPr>
        <w:t>Excavated material for re-use as fill shall be protected from weathering action or damage which</w:t>
      </w:r>
      <w:r w:rsidR="00970D5E">
        <w:rPr>
          <w:lang w:eastAsia="en-GB"/>
        </w:rPr>
        <w:t xml:space="preserve"> </w:t>
      </w:r>
      <w:r w:rsidR="00AE2389">
        <w:rPr>
          <w:lang w:eastAsia="en-GB"/>
        </w:rPr>
        <w:t xml:space="preserve">if </w:t>
      </w:r>
      <w:r w:rsidR="00970D5E">
        <w:rPr>
          <w:lang w:eastAsia="en-GB"/>
        </w:rPr>
        <w:t>left</w:t>
      </w:r>
      <w:r w:rsidRPr="00CB64A4">
        <w:rPr>
          <w:lang w:eastAsia="en-GB"/>
        </w:rPr>
        <w:t xml:space="preserve"> </w:t>
      </w:r>
      <w:r w:rsidR="00970D5E">
        <w:rPr>
          <w:lang w:eastAsia="en-GB"/>
        </w:rPr>
        <w:t>un</w:t>
      </w:r>
      <w:r w:rsidR="002B10B7">
        <w:rPr>
          <w:lang w:eastAsia="en-GB"/>
        </w:rPr>
        <w:t>p</w:t>
      </w:r>
      <w:r w:rsidR="002B10B7" w:rsidRPr="00CB64A4">
        <w:rPr>
          <w:lang w:eastAsia="en-GB"/>
        </w:rPr>
        <w:t>rotect</w:t>
      </w:r>
      <w:r w:rsidR="00AE2389">
        <w:rPr>
          <w:lang w:eastAsia="en-GB"/>
        </w:rPr>
        <w:t>ed</w:t>
      </w:r>
      <w:r w:rsidR="002B10B7" w:rsidRPr="00CB64A4">
        <w:rPr>
          <w:lang w:eastAsia="en-GB"/>
        </w:rPr>
        <w:t xml:space="preserve"> </w:t>
      </w:r>
      <w:r w:rsidRPr="00CB64A4">
        <w:rPr>
          <w:lang w:eastAsia="en-GB"/>
        </w:rPr>
        <w:t>would cause an increase or decrease in the natural moisture content or physical deterioration.  The measures which should be undertaken for protection are:</w:t>
      </w:r>
    </w:p>
    <w:p w14:paraId="5A019F9C" w14:textId="77777777" w:rsidR="00292BFA" w:rsidRPr="00CB64A4" w:rsidRDefault="00E657F5" w:rsidP="00CB64A4">
      <w:pPr>
        <w:pStyle w:val="Bullet"/>
      </w:pPr>
      <w:r w:rsidRPr="00CB64A4">
        <w:t>The amount of excavated soil stockpiled on the surface shall be kept to a minimum. Excavated material if suitable for re-use as backfilling shall be used as soon after excavation as possible.</w:t>
      </w:r>
    </w:p>
    <w:p w14:paraId="0B55041C" w14:textId="77777777" w:rsidR="00292BFA" w:rsidRPr="00CB64A4" w:rsidRDefault="00E657F5" w:rsidP="00CB64A4">
      <w:pPr>
        <w:pStyle w:val="Bullet"/>
      </w:pPr>
      <w:r w:rsidRPr="00CB64A4">
        <w:t>Excavated materials for re-use must not be allowed to become contaminated with unsuitable material.</w:t>
      </w:r>
    </w:p>
    <w:p w14:paraId="578B50E1" w14:textId="77777777" w:rsidR="00292BFA" w:rsidRPr="00CB64A4" w:rsidRDefault="00E657F5" w:rsidP="00CB64A4">
      <w:pPr>
        <w:pStyle w:val="Bullet"/>
      </w:pPr>
      <w:r w:rsidRPr="00CB64A4">
        <w:t>Excavated material for re-use must be stockpiled clear of any water channel, or low spot in which water may collect.</w:t>
      </w:r>
    </w:p>
    <w:p w14:paraId="16AAB61C" w14:textId="77777777" w:rsidR="00292BFA" w:rsidRPr="00CB64A4" w:rsidRDefault="00E657F5" w:rsidP="00CB64A4">
      <w:pPr>
        <w:pStyle w:val="Bullet"/>
      </w:pPr>
      <w:r w:rsidRPr="00CB64A4">
        <w:t>Excavated material must be stacked in a compact, ridged heap which will shed water.</w:t>
      </w:r>
    </w:p>
    <w:p w14:paraId="2E191901" w14:textId="77777777" w:rsidR="00292BFA" w:rsidRDefault="00E657F5" w:rsidP="00A02DF7">
      <w:pPr>
        <w:pStyle w:val="Heading2"/>
        <w:ind w:left="1021" w:hanging="1021"/>
      </w:pPr>
      <w:bookmarkStart w:id="45" w:name="_Toc87942679"/>
      <w:r>
        <w:t>Dewatering trenches and pits</w:t>
      </w:r>
      <w:bookmarkEnd w:id="45"/>
    </w:p>
    <w:p w14:paraId="13E1041F" w14:textId="77777777" w:rsidR="00292BFA" w:rsidRPr="00CB64A4" w:rsidRDefault="00E657F5" w:rsidP="00CB64A4">
      <w:pPr>
        <w:pStyle w:val="BodyText"/>
        <w:rPr>
          <w:lang w:eastAsia="en-GB"/>
        </w:rPr>
      </w:pPr>
      <w:r w:rsidRPr="00CB64A4">
        <w:rPr>
          <w:lang w:eastAsia="en-GB"/>
        </w:rPr>
        <w:t xml:space="preserve">Adequate arrangements shall be made to prevent water collecting in excavations. </w:t>
      </w:r>
    </w:p>
    <w:p w14:paraId="3A67DB0D" w14:textId="77777777" w:rsidR="00292BFA" w:rsidRPr="00CB64A4" w:rsidRDefault="00E657F5" w:rsidP="00CB64A4">
      <w:pPr>
        <w:pStyle w:val="BodyText"/>
        <w:rPr>
          <w:lang w:eastAsia="en-GB"/>
        </w:rPr>
      </w:pPr>
      <w:r w:rsidRPr="00CB64A4">
        <w:rPr>
          <w:lang w:eastAsia="en-GB"/>
        </w:rPr>
        <w:t xml:space="preserve">The formation and excavations shall be kept free from water during the progress of the works and the Developer shall make provision for all labour, materials, </w:t>
      </w:r>
      <w:r w:rsidR="00AA50C0" w:rsidRPr="00CB64A4">
        <w:rPr>
          <w:lang w:eastAsia="en-GB"/>
        </w:rPr>
        <w:t>pumps,</w:t>
      </w:r>
      <w:r w:rsidRPr="00CB64A4">
        <w:rPr>
          <w:lang w:eastAsia="en-GB"/>
        </w:rPr>
        <w:t xml:space="preserve"> and maintenance thereof necessary for the purpose.</w:t>
      </w:r>
    </w:p>
    <w:p w14:paraId="3D4B47A2" w14:textId="77777777" w:rsidR="00553FC7" w:rsidRPr="003F26A5" w:rsidRDefault="00E657F5" w:rsidP="00553FC7">
      <w:pPr>
        <w:pStyle w:val="BodyText"/>
        <w:rPr>
          <w:lang w:eastAsia="en-GB"/>
        </w:rPr>
      </w:pPr>
      <w:r w:rsidRPr="00CB64A4">
        <w:rPr>
          <w:lang w:eastAsia="en-GB"/>
        </w:rPr>
        <w:t xml:space="preserve">Where sump holes are found to be necessary below the formation of the trenches their positions shall be approved by the Engineer, and the Developer shall form such sumps, and on completion fill up to the formation level of the trench with mix ST2 concrete, medium workability.  Pumping operations shall be conducted so as not to endanger the foundation or stability of any of the adjoining structures. Moreover, flow shall not be discharged into new or existing sewers or watercourse without the approval of the Engineer </w:t>
      </w:r>
      <w:r w:rsidRPr="00553FC7">
        <w:rPr>
          <w:color w:val="auto"/>
          <w:lang w:eastAsia="en-GB"/>
        </w:rPr>
        <w:t xml:space="preserve">in addition to the required permissions from the Environment Agency, the Water and Sewerage company and </w:t>
      </w:r>
      <w:r w:rsidR="00CA71F8">
        <w:rPr>
          <w:color w:val="auto"/>
          <w:lang w:eastAsia="en-GB"/>
        </w:rPr>
        <w:t xml:space="preserve">the </w:t>
      </w:r>
      <w:r w:rsidRPr="00553FC7">
        <w:rPr>
          <w:color w:val="auto"/>
          <w:lang w:eastAsia="en-GB"/>
        </w:rPr>
        <w:t>L</w:t>
      </w:r>
      <w:r w:rsidR="00CA71F8">
        <w:rPr>
          <w:color w:val="auto"/>
          <w:lang w:eastAsia="en-GB"/>
        </w:rPr>
        <w:t>CC</w:t>
      </w:r>
      <w:r w:rsidR="008B48EF">
        <w:rPr>
          <w:color w:val="auto"/>
          <w:lang w:eastAsia="en-GB"/>
        </w:rPr>
        <w:t xml:space="preserve"> </w:t>
      </w:r>
      <w:r w:rsidRPr="00553FC7">
        <w:rPr>
          <w:color w:val="auto"/>
          <w:lang w:eastAsia="en-GB"/>
        </w:rPr>
        <w:t xml:space="preserve">Flood Risk Management Team as the </w:t>
      </w:r>
      <w:r w:rsidR="004355DA">
        <w:rPr>
          <w:color w:val="auto"/>
          <w:lang w:eastAsia="en-GB"/>
        </w:rPr>
        <w:t>LLFA</w:t>
      </w:r>
      <w:r w:rsidRPr="00553FC7">
        <w:rPr>
          <w:color w:val="auto"/>
          <w:lang w:eastAsia="en-GB"/>
        </w:rPr>
        <w:t xml:space="preserve">, where such permissions are required. Under the Land Drainage Act 1991 (as amended by the Flood and Water Management Act 2010) the </w:t>
      </w:r>
      <w:r w:rsidR="004355DA">
        <w:rPr>
          <w:color w:val="auto"/>
          <w:lang w:eastAsia="en-GB"/>
        </w:rPr>
        <w:t>LLFA</w:t>
      </w:r>
      <w:r w:rsidRPr="00553FC7">
        <w:rPr>
          <w:color w:val="auto"/>
          <w:lang w:eastAsia="en-GB"/>
        </w:rPr>
        <w:t xml:space="preserve"> are responsible for regulating ordinary watercourses; this includes, for example, </w:t>
      </w:r>
      <w:r w:rsidRPr="00553FC7">
        <w:rPr>
          <w:color w:val="auto"/>
        </w:rPr>
        <w:t>constructing a temporary or permanent structure in an ordinary watercourse</w:t>
      </w:r>
      <w:r w:rsidRPr="00553FC7">
        <w:rPr>
          <w:color w:val="auto"/>
          <w:lang w:eastAsia="en-GB"/>
        </w:rPr>
        <w:t>. Further details of what requires ordinary watercourse consent can be found on our website:</w:t>
      </w:r>
      <w:r w:rsidRPr="003F26A5">
        <w:rPr>
          <w:b/>
          <w:bCs/>
          <w:color w:val="auto"/>
          <w:lang w:eastAsia="en-GB"/>
        </w:rPr>
        <w:t xml:space="preserve"> </w:t>
      </w:r>
    </w:p>
    <w:p w14:paraId="0C07D763" w14:textId="77777777" w:rsidR="00553FC7" w:rsidRPr="00553FC7" w:rsidRDefault="00765D0C" w:rsidP="00553FC7">
      <w:pPr>
        <w:pStyle w:val="BodyText"/>
        <w:rPr>
          <w:color w:val="FF0000"/>
          <w:lang w:eastAsia="en-GB"/>
        </w:rPr>
      </w:pPr>
      <w:hyperlink r:id="rId18" w:history="1">
        <w:r w:rsidR="00014C12" w:rsidRPr="00553FC7">
          <w:rPr>
            <w:rStyle w:val="Hyperlink"/>
            <w:rFonts w:cs="Helvetica-Light"/>
            <w:lang w:eastAsia="en-GB"/>
          </w:rPr>
          <w:t>https://www.lancashire.gov.uk/flooding/drains-and-sewers/alterations-to-a-watercourse/</w:t>
        </w:r>
      </w:hyperlink>
      <w:r w:rsidR="00014C12" w:rsidRPr="00553FC7">
        <w:rPr>
          <w:color w:val="FF0000"/>
          <w:lang w:eastAsia="en-GB"/>
        </w:rPr>
        <w:t xml:space="preserve"> </w:t>
      </w:r>
    </w:p>
    <w:p w14:paraId="23DEBA06" w14:textId="77777777" w:rsidR="00553FC7" w:rsidRPr="00553FC7" w:rsidRDefault="00E657F5" w:rsidP="00553FC7">
      <w:pPr>
        <w:pStyle w:val="BodyText"/>
        <w:rPr>
          <w:color w:val="auto"/>
          <w:lang w:eastAsia="en-GB"/>
        </w:rPr>
      </w:pPr>
      <w:r w:rsidRPr="00553FC7">
        <w:rPr>
          <w:color w:val="auto"/>
          <w:lang w:eastAsia="en-GB"/>
        </w:rPr>
        <w:t xml:space="preserve">Applicants should seek advice from the Environment Agency on water quality impacts and abstraction licenses associated with dewatering activities. Works to or within 8 meters of the top of the bank of a main river may require an environmental permit from the Environment Agency. </w:t>
      </w:r>
    </w:p>
    <w:p w14:paraId="32932F7A" w14:textId="77777777" w:rsidR="00C33E41" w:rsidRPr="001171D8" w:rsidRDefault="00E657F5" w:rsidP="00CB64A4">
      <w:pPr>
        <w:pStyle w:val="BodyText"/>
        <w:rPr>
          <w:color w:val="auto"/>
          <w:lang w:eastAsia="en-GB"/>
        </w:rPr>
      </w:pPr>
      <w:r w:rsidRPr="00553FC7">
        <w:rPr>
          <w:color w:val="auto"/>
          <w:lang w:eastAsia="en-GB"/>
        </w:rPr>
        <w:t>Discharge to public sewers may require permission from the relevant Water and Sewerage Company. Discharge to a highway drain will only be considered in exceptional circumstances and remains at the discretion of the highway authority</w:t>
      </w:r>
      <w:r w:rsidR="003F26A5">
        <w:rPr>
          <w:color w:val="auto"/>
          <w:lang w:eastAsia="en-GB"/>
        </w:rPr>
        <w:t>.</w:t>
      </w:r>
      <w:r w:rsidRPr="00553FC7">
        <w:rPr>
          <w:color w:val="auto"/>
          <w:lang w:eastAsia="en-GB"/>
        </w:rPr>
        <w:t xml:space="preserve"> </w:t>
      </w:r>
      <w:r w:rsidRPr="003F26A5">
        <w:rPr>
          <w:color w:val="auto"/>
          <w:lang w:eastAsia="en-GB"/>
        </w:rPr>
        <w:t xml:space="preserve"> Evidence that the applicant has acquired all the relevant permissions will be required by the Highway Authority.</w:t>
      </w:r>
    </w:p>
    <w:p w14:paraId="5391371B" w14:textId="77777777" w:rsidR="00292BFA" w:rsidRPr="00CB64A4" w:rsidRDefault="00E657F5" w:rsidP="00CB64A4">
      <w:pPr>
        <w:pStyle w:val="BodyText"/>
        <w:rPr>
          <w:lang w:eastAsia="en-GB"/>
        </w:rPr>
      </w:pPr>
      <w:r w:rsidRPr="00CB64A4">
        <w:rPr>
          <w:lang w:eastAsia="en-GB"/>
        </w:rPr>
        <w:t>In the event of the Developer requiring drainage grips, channels or sub-drains, the Engineer will permit these to be constructed below the level of and within the width limits of the permanent work, provided the Engineer has approved the details of the Developer's proposals.</w:t>
      </w:r>
    </w:p>
    <w:p w14:paraId="04FBF435" w14:textId="77777777" w:rsidR="00292BFA" w:rsidRPr="00CB64A4" w:rsidRDefault="00E657F5" w:rsidP="00CB64A4">
      <w:pPr>
        <w:pStyle w:val="BodyText"/>
        <w:rPr>
          <w:lang w:eastAsia="en-GB"/>
        </w:rPr>
      </w:pPr>
      <w:r w:rsidRPr="00CB64A4">
        <w:rPr>
          <w:lang w:eastAsia="en-GB"/>
        </w:rPr>
        <w:t>Any sub-drainage that the Developer constructs below the permanent works shall, if left in place, be made to provide support at least equal to the permanent support. Ballast filled sub-drains underneath permanent in-situ concrete shall be covered with a waterproof membrane.</w:t>
      </w:r>
    </w:p>
    <w:p w14:paraId="50D45039" w14:textId="77777777" w:rsidR="00292BFA" w:rsidRDefault="00E657F5" w:rsidP="00CB64A4">
      <w:pPr>
        <w:pStyle w:val="BodyText"/>
        <w:rPr>
          <w:lang w:eastAsia="en-GB"/>
        </w:rPr>
      </w:pPr>
      <w:r w:rsidRPr="00CB64A4">
        <w:rPr>
          <w:lang w:eastAsia="en-GB"/>
        </w:rPr>
        <w:t>No sub-drainage pipes shall be left in unless they are filled with mix ST2 concrete or other approved material.</w:t>
      </w:r>
    </w:p>
    <w:p w14:paraId="7C1672AB" w14:textId="77777777" w:rsidR="00292BFA" w:rsidRDefault="00E657F5" w:rsidP="00A02DF7">
      <w:pPr>
        <w:pStyle w:val="Heading2"/>
        <w:ind w:left="1021" w:hanging="1021"/>
      </w:pPr>
      <w:bookmarkStart w:id="46" w:name="_Toc87942680"/>
      <w:r>
        <w:t>Bedding and Laying Pipes</w:t>
      </w:r>
      <w:bookmarkEnd w:id="46"/>
    </w:p>
    <w:p w14:paraId="043A13C5" w14:textId="77777777" w:rsidR="00292BFA" w:rsidRPr="00CB64A4" w:rsidRDefault="00E657F5" w:rsidP="00CB64A4">
      <w:pPr>
        <w:pStyle w:val="BodyText"/>
        <w:rPr>
          <w:lang w:eastAsia="en-GB"/>
        </w:rPr>
      </w:pPr>
      <w:r w:rsidRPr="00CB64A4">
        <w:rPr>
          <w:lang w:eastAsia="en-GB"/>
        </w:rPr>
        <w:t>The laying of all pipes shall be commenced at point of outfall unless otherwise agreed with the Engineer, and any necessary junctions shall be inserted as the work proceeds and shall be laid true and to lines and levels as shown on the drawings approved by the Engineer.  Each pipe shall be properly boned-in so that the invert is to a true and even gradient with the spigot end towards the outfall.</w:t>
      </w:r>
    </w:p>
    <w:p w14:paraId="4315139B" w14:textId="77777777" w:rsidR="00292BFA" w:rsidRPr="00E068DE" w:rsidRDefault="00E657F5" w:rsidP="00A61E70">
      <w:pPr>
        <w:pStyle w:val="BodyText"/>
      </w:pPr>
      <w:r w:rsidRPr="00CB64A4">
        <w:rPr>
          <w:lang w:eastAsia="en-GB"/>
        </w:rPr>
        <w:t xml:space="preserve">Each pipe immediately before being laid shall be carefully brushed out and tested for soundness.  Each pipe shall be laid accurately to line and gradient so that except where otherwise specified or ordered by the Engineer the finished pipeline shall be in straight lines both in the horizontal and vertical planes.  Where lines of pipes are to be constructed in trench the Developer shall provide, </w:t>
      </w:r>
      <w:r w:rsidR="00AA50C0" w:rsidRPr="00CB64A4">
        <w:rPr>
          <w:lang w:eastAsia="en-GB"/>
        </w:rPr>
        <w:t>fix,</w:t>
      </w:r>
      <w:r w:rsidRPr="00CB64A4">
        <w:rPr>
          <w:lang w:eastAsia="en-GB"/>
        </w:rPr>
        <w:t xml:space="preserve"> and maintain at a maximum spacing of 50m and at such points as may be directed by the Engineer, properly painted sight rails.  With the consent of the Engineer pipelines may be laid using a laser.</w:t>
      </w:r>
    </w:p>
    <w:p w14:paraId="1A9DED23" w14:textId="77777777" w:rsidR="00292BFA" w:rsidRPr="00CB64A4" w:rsidRDefault="00E657F5" w:rsidP="00CB64A4">
      <w:pPr>
        <w:pStyle w:val="BodyText"/>
        <w:rPr>
          <w:lang w:eastAsia="en-GB"/>
        </w:rPr>
      </w:pPr>
      <w:r w:rsidRPr="00CB64A4">
        <w:rPr>
          <w:lang w:eastAsia="en-GB"/>
        </w:rPr>
        <w:t>In trenches, pipes shall be laid and jointed immediately following excavation.</w:t>
      </w:r>
    </w:p>
    <w:p w14:paraId="379F2AA9" w14:textId="77777777" w:rsidR="00292BFA" w:rsidRPr="00CB64A4" w:rsidRDefault="00E657F5" w:rsidP="00CB64A4">
      <w:pPr>
        <w:pStyle w:val="BodyText"/>
        <w:rPr>
          <w:lang w:eastAsia="en-GB"/>
        </w:rPr>
      </w:pPr>
      <w:r w:rsidRPr="00CB64A4">
        <w:rPr>
          <w:lang w:eastAsia="en-GB"/>
        </w:rPr>
        <w:t>For all pipelines the nearest joint to any chamber shall be not more than 500mm from the inner face of the wall and shall not be restricted by any concrete. Between this and the next joint, the length of the articulated pipe shall be:</w:t>
      </w:r>
    </w:p>
    <w:p w14:paraId="70347227" w14:textId="77777777" w:rsidR="00292BFA" w:rsidRPr="009C5BE7" w:rsidRDefault="00E657F5" w:rsidP="00CB64A4">
      <w:pPr>
        <w:pStyle w:val="Bullet"/>
      </w:pPr>
      <w:r w:rsidRPr="00CB64A4">
        <w:t>For pipe diameters 450mm and less, 500mm to 750mm.</w:t>
      </w:r>
    </w:p>
    <w:p w14:paraId="270C3D6D" w14:textId="77777777" w:rsidR="00292BFA" w:rsidRPr="00E068DE" w:rsidRDefault="00E657F5" w:rsidP="00CB64A4">
      <w:pPr>
        <w:pStyle w:val="Bullet"/>
      </w:pPr>
      <w:r w:rsidRPr="00CB64A4">
        <w:t>For pipe diameters greater than 450mm, 750mm to 1000mm.</w:t>
      </w:r>
    </w:p>
    <w:p w14:paraId="1B9D50CC" w14:textId="77777777" w:rsidR="00292BFA" w:rsidRPr="00CB64A4" w:rsidRDefault="00E657F5" w:rsidP="00CB64A4">
      <w:pPr>
        <w:pStyle w:val="BodyText"/>
        <w:rPr>
          <w:lang w:eastAsia="en-GB"/>
        </w:rPr>
      </w:pPr>
      <w:r w:rsidRPr="00CB64A4">
        <w:rPr>
          <w:lang w:eastAsia="en-GB"/>
        </w:rPr>
        <w:t>Where a granular bed to pipes is to be used the pipes shall be laid upon and worked into a well compacted bed of granular material extending the whole width of the trench. Before laying the pipes, the granular bed shall be thoroughly compacted by mechanical means to the satisfaction of the Engineer. Socket holes shall then be formed in the bedding to ensure that pipes, when laid, shall be firmly supported for the full length of their barrels.</w:t>
      </w:r>
    </w:p>
    <w:p w14:paraId="7D315F8C" w14:textId="77777777" w:rsidR="00525C1C" w:rsidRPr="00CB64A4" w:rsidRDefault="00E657F5" w:rsidP="0032005F">
      <w:pPr>
        <w:pStyle w:val="BodyText"/>
        <w:rPr>
          <w:lang w:eastAsia="en-GB"/>
        </w:rPr>
      </w:pPr>
      <w:r w:rsidRPr="00CB64A4">
        <w:rPr>
          <w:lang w:eastAsia="en-GB"/>
        </w:rPr>
        <w:t>The thickness of the granular material below the barrel of the pipes shall</w:t>
      </w:r>
      <w:r w:rsidR="007D735D">
        <w:rPr>
          <w:lang w:eastAsia="en-GB"/>
        </w:rPr>
        <w:t xml:space="preserve"> be</w:t>
      </w:r>
      <w:r w:rsidR="0032005F">
        <w:rPr>
          <w:lang w:eastAsia="en-GB"/>
        </w:rPr>
        <w:t xml:space="preserve"> </w:t>
      </w:r>
      <w:r w:rsidR="00AA119B">
        <w:rPr>
          <w:lang w:eastAsia="en-GB"/>
        </w:rPr>
        <w:t>1/6</w:t>
      </w:r>
      <w:r w:rsidR="00AA119B" w:rsidRPr="0032005F">
        <w:rPr>
          <w:vertAlign w:val="superscript"/>
          <w:lang w:eastAsia="en-GB"/>
        </w:rPr>
        <w:t>th</w:t>
      </w:r>
      <w:r w:rsidR="00AA119B">
        <w:rPr>
          <w:lang w:eastAsia="en-GB"/>
        </w:rPr>
        <w:t xml:space="preserve"> of the </w:t>
      </w:r>
      <w:r w:rsidR="00BE7588">
        <w:rPr>
          <w:lang w:eastAsia="en-GB"/>
        </w:rPr>
        <w:t xml:space="preserve">external </w:t>
      </w:r>
      <w:r w:rsidR="00AA119B">
        <w:rPr>
          <w:lang w:eastAsia="en-GB"/>
        </w:rPr>
        <w:t>pipe diameter or 100mm</w:t>
      </w:r>
      <w:r w:rsidR="0032005F">
        <w:rPr>
          <w:lang w:eastAsia="en-GB"/>
        </w:rPr>
        <w:t>,</w:t>
      </w:r>
      <w:r w:rsidR="00AA119B">
        <w:rPr>
          <w:lang w:eastAsia="en-GB"/>
        </w:rPr>
        <w:t xml:space="preserve"> whichever is greater</w:t>
      </w:r>
      <w:r w:rsidR="0032005F">
        <w:rPr>
          <w:lang w:eastAsia="en-GB"/>
        </w:rPr>
        <w:t>.</w:t>
      </w:r>
    </w:p>
    <w:p w14:paraId="6A2B7BF6" w14:textId="77777777" w:rsidR="00292BFA" w:rsidRPr="00CB64A4" w:rsidRDefault="00E657F5" w:rsidP="00CB64A4">
      <w:pPr>
        <w:pStyle w:val="BodyText"/>
        <w:rPr>
          <w:lang w:eastAsia="en-GB"/>
        </w:rPr>
      </w:pPr>
      <w:r w:rsidRPr="00CB64A4">
        <w:rPr>
          <w:lang w:eastAsia="en-GB"/>
        </w:rPr>
        <w:t>When pipes of up to 1.2m diameter are laid in ground which may result in irregular hard spots beneath the pipes, the depth of granular bed shall be increased by 100mm.</w:t>
      </w:r>
    </w:p>
    <w:p w14:paraId="213F812F" w14:textId="77777777" w:rsidR="00292BFA" w:rsidRPr="00CB64A4" w:rsidRDefault="00E657F5" w:rsidP="00CB64A4">
      <w:pPr>
        <w:pStyle w:val="BodyText"/>
        <w:rPr>
          <w:lang w:eastAsia="en-GB"/>
        </w:rPr>
      </w:pPr>
      <w:r w:rsidRPr="00CB64A4">
        <w:rPr>
          <w:lang w:eastAsia="en-GB"/>
        </w:rPr>
        <w:t>After the pipes have been tested and approved by the Engineer the trench shall be carefully filled to the level of the horizontal diameter of the pipe with granular material.  This filling shall be carefully compacted by a method approved by the Engineer and the trench width shall be such that adequate compaction can be achieved.</w:t>
      </w:r>
    </w:p>
    <w:p w14:paraId="1C4BA25F" w14:textId="77777777" w:rsidR="00292BFA" w:rsidRDefault="00E657F5" w:rsidP="00A02DF7">
      <w:pPr>
        <w:pStyle w:val="Heading2"/>
        <w:ind w:left="1021" w:hanging="1021"/>
      </w:pPr>
      <w:bookmarkStart w:id="47" w:name="_Toc87942681"/>
      <w:r>
        <w:t>Concrete protection for pipelines</w:t>
      </w:r>
      <w:bookmarkEnd w:id="47"/>
    </w:p>
    <w:p w14:paraId="1CA0D621" w14:textId="77777777" w:rsidR="00292BFA" w:rsidRPr="00CB64A4" w:rsidRDefault="00E657F5" w:rsidP="00CB64A4">
      <w:pPr>
        <w:pStyle w:val="BodyText"/>
        <w:rPr>
          <w:lang w:eastAsia="en-GB"/>
        </w:rPr>
      </w:pPr>
      <w:r w:rsidRPr="00CB64A4">
        <w:rPr>
          <w:lang w:eastAsia="en-GB"/>
        </w:rPr>
        <w:t>Where a Developer elects to provide a concrete protection, it shall be as follows:</w:t>
      </w:r>
    </w:p>
    <w:p w14:paraId="61436BA1" w14:textId="77777777" w:rsidR="00292BFA" w:rsidRPr="00E068DE" w:rsidRDefault="00E657F5" w:rsidP="00CB64A4">
      <w:pPr>
        <w:pStyle w:val="Bullet"/>
      </w:pPr>
      <w:r w:rsidRPr="003B586D">
        <w:t>Concrete surround shall be provided for</w:t>
      </w:r>
      <w:r>
        <w:t>:</w:t>
      </w:r>
    </w:p>
    <w:p w14:paraId="7284EFCE" w14:textId="77777777" w:rsidR="00292BFA" w:rsidRPr="00C07B47" w:rsidRDefault="00E657F5" w:rsidP="00AA6591">
      <w:pPr>
        <w:numPr>
          <w:ilvl w:val="0"/>
          <w:numId w:val="20"/>
        </w:numPr>
        <w:spacing w:after="0"/>
      </w:pPr>
      <w:r w:rsidRPr="003B586D">
        <w:rPr>
          <w:rFonts w:cs="Arial"/>
        </w:rPr>
        <w:t>All pipes with less than 1.0m of cover under carriageways, footways, or or verges adjacent to them.</w:t>
      </w:r>
    </w:p>
    <w:p w14:paraId="70F09663" w14:textId="77777777" w:rsidR="00292BFA" w:rsidRPr="00C07B47" w:rsidRDefault="00E657F5" w:rsidP="00AA6591">
      <w:pPr>
        <w:numPr>
          <w:ilvl w:val="0"/>
          <w:numId w:val="20"/>
        </w:numPr>
        <w:spacing w:after="0"/>
      </w:pPr>
      <w:r w:rsidRPr="003B586D">
        <w:rPr>
          <w:rFonts w:cs="Arial"/>
        </w:rPr>
        <w:t>All pipes with over 6m of cover no matter where.</w:t>
      </w:r>
    </w:p>
    <w:p w14:paraId="58C64B2D" w14:textId="77777777" w:rsidR="00292BFA" w:rsidRPr="00C07B47" w:rsidRDefault="00E657F5" w:rsidP="00AA6591">
      <w:pPr>
        <w:numPr>
          <w:ilvl w:val="0"/>
          <w:numId w:val="20"/>
        </w:numPr>
        <w:spacing w:after="0"/>
      </w:pPr>
      <w:r w:rsidRPr="003B586D">
        <w:rPr>
          <w:rFonts w:cs="Arial"/>
        </w:rPr>
        <w:t>All pipes in highways where the Engineer requires a surround to be provided for engineering purposes.</w:t>
      </w:r>
    </w:p>
    <w:p w14:paraId="4A3ED6E3" w14:textId="77777777" w:rsidR="00292BFA" w:rsidRPr="00C07B47" w:rsidRDefault="00E657F5" w:rsidP="00AA6591">
      <w:pPr>
        <w:numPr>
          <w:ilvl w:val="0"/>
          <w:numId w:val="20"/>
        </w:numPr>
        <w:spacing w:after="0"/>
      </w:pPr>
      <w:r w:rsidRPr="003B586D">
        <w:rPr>
          <w:rFonts w:cs="Arial"/>
        </w:rPr>
        <w:t>All pipes in made up or filled ground.</w:t>
      </w:r>
    </w:p>
    <w:p w14:paraId="67C69EA0" w14:textId="77777777" w:rsidR="00CB64A4" w:rsidRPr="00C07B47" w:rsidRDefault="00E657F5" w:rsidP="00AA6591">
      <w:pPr>
        <w:numPr>
          <w:ilvl w:val="0"/>
          <w:numId w:val="20"/>
        </w:numPr>
        <w:spacing w:after="0"/>
        <w:jc w:val="left"/>
      </w:pPr>
      <w:r w:rsidRPr="003B586D">
        <w:rPr>
          <w:rFonts w:cs="Arial"/>
        </w:rPr>
        <w:t>All pipes in heading.</w:t>
      </w:r>
      <w:r>
        <w:br/>
      </w:r>
    </w:p>
    <w:p w14:paraId="49C04A00" w14:textId="77777777" w:rsidR="00292BFA" w:rsidRPr="00C07B47" w:rsidRDefault="00E657F5" w:rsidP="00CB64A4">
      <w:pPr>
        <w:pStyle w:val="Bullet"/>
      </w:pPr>
      <w:r w:rsidRPr="003B586D">
        <w:t>Concrete bed and haunch shall be provided for</w:t>
      </w:r>
      <w:r w:rsidR="00850B8B">
        <w:t xml:space="preserve"> </w:t>
      </w:r>
      <w:r w:rsidR="000150D3">
        <w:t>all pipes with over 4.5m cover no matter where.</w:t>
      </w:r>
    </w:p>
    <w:p w14:paraId="70E3AEB9" w14:textId="77777777" w:rsidR="00292BFA" w:rsidRPr="00CB64A4" w:rsidRDefault="00E657F5" w:rsidP="00CB64A4">
      <w:pPr>
        <w:pStyle w:val="BodyText"/>
        <w:rPr>
          <w:lang w:eastAsia="en-GB"/>
        </w:rPr>
      </w:pPr>
      <w:r w:rsidRPr="00CB64A4">
        <w:rPr>
          <w:lang w:eastAsia="en-GB"/>
        </w:rPr>
        <w:t>Concrete for concrete protection shall be mix ST4 concrete, medium workability, and shall be made with sulphate-resisting cement where necessary.</w:t>
      </w:r>
    </w:p>
    <w:p w14:paraId="69B2EF68" w14:textId="77777777" w:rsidR="00292BFA" w:rsidRPr="00CB64A4" w:rsidRDefault="00E657F5" w:rsidP="00CB64A4">
      <w:pPr>
        <w:pStyle w:val="BodyText"/>
        <w:rPr>
          <w:lang w:eastAsia="en-GB"/>
        </w:rPr>
      </w:pPr>
      <w:r w:rsidRPr="00CB64A4">
        <w:rPr>
          <w:lang w:eastAsia="en-GB"/>
        </w:rPr>
        <w:t xml:space="preserve">The minimum thickness of concrete protection; under the pipes in the case of bed, </w:t>
      </w:r>
      <w:r w:rsidR="00AA50C0" w:rsidRPr="00CB64A4">
        <w:rPr>
          <w:lang w:eastAsia="en-GB"/>
        </w:rPr>
        <w:t>haunch,</w:t>
      </w:r>
      <w:r w:rsidRPr="00CB64A4">
        <w:rPr>
          <w:lang w:eastAsia="en-GB"/>
        </w:rPr>
        <w:t xml:space="preserve"> and surround; at the sides of the pipes in the case of haunch and surround; and over the pipes in the case of surround shall be as</w:t>
      </w:r>
      <w:r w:rsidR="00D01229">
        <w:rPr>
          <w:lang w:eastAsia="en-GB"/>
        </w:rPr>
        <w:t xml:space="preserve"> </w:t>
      </w:r>
      <w:r w:rsidR="00A65C74">
        <w:rPr>
          <w:lang w:eastAsia="en-GB"/>
        </w:rPr>
        <w:t xml:space="preserve">per </w:t>
      </w:r>
      <w:r w:rsidR="000E606A">
        <w:rPr>
          <w:lang w:eastAsia="en-GB"/>
        </w:rPr>
        <w:t>MCHW Volume 3 – Highway Construction Details, F Series,</w:t>
      </w:r>
      <w:r w:rsidR="00D01229">
        <w:rPr>
          <w:lang w:eastAsia="en-GB"/>
        </w:rPr>
        <w:t xml:space="preserve"> Drawing F1, Detail Type Z.</w:t>
      </w:r>
    </w:p>
    <w:p w14:paraId="109760E5" w14:textId="77777777" w:rsidR="00292BFA" w:rsidRPr="00CB64A4" w:rsidRDefault="00E657F5" w:rsidP="00CB64A4">
      <w:pPr>
        <w:pStyle w:val="BodyText"/>
        <w:rPr>
          <w:lang w:eastAsia="en-GB"/>
        </w:rPr>
      </w:pPr>
      <w:r w:rsidRPr="00CB64A4">
        <w:rPr>
          <w:lang w:eastAsia="en-GB"/>
        </w:rPr>
        <w:t>The overall width of concrete protection shall be the width of the trench.  Haunch shall be carried up the sides of the pipe from the bed to a horizontal surface midway between the maximum external horizontal diameter and highest point of the pipe.</w:t>
      </w:r>
    </w:p>
    <w:p w14:paraId="1A6CEB30" w14:textId="77777777" w:rsidR="00292BFA" w:rsidRPr="00CB64A4" w:rsidRDefault="00E657F5" w:rsidP="00CB64A4">
      <w:pPr>
        <w:pStyle w:val="BodyText"/>
        <w:rPr>
          <w:lang w:eastAsia="en-GB"/>
        </w:rPr>
      </w:pPr>
      <w:r w:rsidRPr="00CB64A4">
        <w:rPr>
          <w:lang w:eastAsia="en-GB"/>
        </w:rPr>
        <w:t>Where required by the Engineer, the Developer shall submit designs for pipelines for the Protection for Engineer's approval.  These designs shall be based on the National Building Studies Special Pipelines Report No.3</w:t>
      </w:r>
      <w:r w:rsidRPr="000C7F87">
        <w:rPr>
          <w:lang w:eastAsia="en-GB"/>
        </w:rPr>
        <w:t xml:space="preserve">7. </w:t>
      </w:r>
      <w:r w:rsidRPr="00CB64A4">
        <w:rPr>
          <w:lang w:eastAsia="en-GB"/>
        </w:rPr>
        <w:t>Where a concrete bed and haunch or other concrete protection is to be used a concrete blinding mix ST2, medium workability, of 75mm thickness shall be laid over the full width of the trench below the underside of the concrete protection.</w:t>
      </w:r>
    </w:p>
    <w:p w14:paraId="5F875A8A" w14:textId="77777777" w:rsidR="00292BFA" w:rsidRPr="00CB64A4" w:rsidRDefault="00E657F5" w:rsidP="00CB64A4">
      <w:pPr>
        <w:pStyle w:val="BodyText"/>
        <w:rPr>
          <w:lang w:eastAsia="en-GB"/>
        </w:rPr>
      </w:pPr>
      <w:r w:rsidRPr="00CB64A4">
        <w:rPr>
          <w:lang w:eastAsia="en-GB"/>
        </w:rPr>
        <w:t>All pipes shall be supported on precast concrete blocks of sufficient area to prevent punching of the blinding course and shall be prevented from lateral movement by the insertion of suitable wooden wedges.  After the pipeline has been tested and approved by the Engineer the concrete blinding shall be thoroughly cleaned off and mix ST4 concrete, medium workability, shall be carefully placed and compacted thereon, care being taken to avoid disturbing the pipes until the appropriate profile for the type of protection required has been reached.  The concrete placed on the blinding course shall be properly shuttered to form the correct profile as shown on the Drawings, or alternatively the concrete shall be extended over the full width of the trench at the Developer's discretion.</w:t>
      </w:r>
    </w:p>
    <w:p w14:paraId="66A9529F" w14:textId="77777777" w:rsidR="00292BFA" w:rsidRPr="00CB64A4" w:rsidRDefault="00E657F5" w:rsidP="00CB64A4">
      <w:pPr>
        <w:pStyle w:val="BodyText"/>
        <w:rPr>
          <w:lang w:eastAsia="en-GB"/>
        </w:rPr>
      </w:pPr>
      <w:r w:rsidRPr="00CB64A4">
        <w:rPr>
          <w:lang w:eastAsia="en-GB"/>
        </w:rPr>
        <w:t>Concrete as protection to pipes over 300mm diameter shall be compacted by mechanical vibrator to the satisfaction of the Engineer.</w:t>
      </w:r>
    </w:p>
    <w:p w14:paraId="08D38C96" w14:textId="77777777" w:rsidR="00292BFA" w:rsidRPr="00CB64A4" w:rsidRDefault="00E657F5" w:rsidP="00CB64A4">
      <w:pPr>
        <w:pStyle w:val="BodyText"/>
        <w:rPr>
          <w:lang w:eastAsia="en-GB"/>
        </w:rPr>
      </w:pPr>
      <w:r w:rsidRPr="00CB64A4">
        <w:rPr>
          <w:lang w:eastAsia="en-GB"/>
        </w:rPr>
        <w:t>The Developer shall form a flexible joint in the concrete protection at each pipe joint.  The joint shall be formed with fibreboard (Clause 3.7</w:t>
      </w:r>
      <w:r w:rsidR="00AA50C0" w:rsidRPr="00CB64A4">
        <w:rPr>
          <w:lang w:eastAsia="en-GB"/>
        </w:rPr>
        <w:t>),</w:t>
      </w:r>
      <w:r w:rsidRPr="00CB64A4">
        <w:rPr>
          <w:lang w:eastAsia="en-GB"/>
        </w:rPr>
        <w:t xml:space="preserve"> or other material approved by the Engineer.  The joint shall extend from formation level over the profile of concrete to be placed.</w:t>
      </w:r>
    </w:p>
    <w:p w14:paraId="36C4FC68" w14:textId="77777777" w:rsidR="00292BFA" w:rsidRPr="00FE3C52" w:rsidRDefault="00E657F5" w:rsidP="00CB64A4">
      <w:pPr>
        <w:pStyle w:val="BodyText"/>
        <w:rPr>
          <w:lang w:eastAsia="en-GB"/>
        </w:rPr>
      </w:pPr>
      <w:r w:rsidRPr="00CB64A4">
        <w:rPr>
          <w:lang w:eastAsia="en-GB"/>
        </w:rPr>
        <w:t>The joint material shall be shaped to the cross-section of the concrete and the outside diameter of the pipe and shall be placed against the face of the collar of the pipes and be fully supported in a manner approved by the Engineer, so that the resulting joint is truly vertical and set at right angles to the line of the pipeline.</w:t>
      </w:r>
      <w:r w:rsidRPr="00CB64A4">
        <w:rPr>
          <w:lang w:eastAsia="en-GB"/>
        </w:rPr>
        <w:tab/>
      </w:r>
    </w:p>
    <w:p w14:paraId="3E13F82D" w14:textId="77777777" w:rsidR="00CB64A4" w:rsidRDefault="00E657F5" w:rsidP="00CB64A4">
      <w:pPr>
        <w:pStyle w:val="BodyText"/>
        <w:jc w:val="left"/>
        <w:rPr>
          <w:lang w:eastAsia="en-GB"/>
        </w:rPr>
      </w:pPr>
      <w:r w:rsidRPr="00CB64A4">
        <w:rPr>
          <w:lang w:eastAsia="en-GB"/>
        </w:rPr>
        <w:t>The joints shall be of the following thickness:</w:t>
      </w:r>
    </w:p>
    <w:p w14:paraId="1F249A63" w14:textId="77777777" w:rsidR="00CB64A4" w:rsidRDefault="00E657F5" w:rsidP="00CB64A4">
      <w:pPr>
        <w:pStyle w:val="Bullet"/>
      </w:pPr>
      <w:r w:rsidRPr="00CB64A4">
        <w:t>12mm for pipes up to 300mm diameter</w:t>
      </w:r>
      <w:r w:rsidR="00850B8B">
        <w:t>.</w:t>
      </w:r>
    </w:p>
    <w:p w14:paraId="5A4378BE" w14:textId="77777777" w:rsidR="00CB64A4" w:rsidRDefault="00E657F5" w:rsidP="00CB64A4">
      <w:pPr>
        <w:pStyle w:val="Bullet"/>
      </w:pPr>
      <w:r w:rsidRPr="00CB64A4">
        <w:t>25mm for pipes from 375mm to 600mm diameter</w:t>
      </w:r>
      <w:r w:rsidR="00850B8B">
        <w:t>.</w:t>
      </w:r>
    </w:p>
    <w:p w14:paraId="697BF460" w14:textId="77777777" w:rsidR="00CB64A4" w:rsidRDefault="00E657F5" w:rsidP="00CB64A4">
      <w:pPr>
        <w:pStyle w:val="Bullet"/>
      </w:pPr>
      <w:r w:rsidRPr="00CB64A4">
        <w:t>40mm for pipes from 675mm to 1200mm diameter</w:t>
      </w:r>
      <w:r w:rsidR="00850B8B">
        <w:t>.</w:t>
      </w:r>
    </w:p>
    <w:p w14:paraId="535B0188" w14:textId="77777777" w:rsidR="00292BFA" w:rsidRPr="00CB64A4" w:rsidRDefault="00E657F5" w:rsidP="00CB64A4">
      <w:pPr>
        <w:pStyle w:val="Bullet"/>
      </w:pPr>
      <w:r w:rsidRPr="00CB64A4">
        <w:t>50mm for pipes greater than 1200mm diameter</w:t>
      </w:r>
      <w:r w:rsidR="00850B8B">
        <w:t>.</w:t>
      </w:r>
    </w:p>
    <w:p w14:paraId="6556A581" w14:textId="77777777" w:rsidR="00292BFA" w:rsidRDefault="00E657F5" w:rsidP="00A02DF7">
      <w:pPr>
        <w:pStyle w:val="Heading2"/>
        <w:ind w:left="1021" w:hanging="1021"/>
      </w:pPr>
      <w:bookmarkStart w:id="48" w:name="_Toc87942682"/>
      <w:r>
        <w:t>Jointing Pipes</w:t>
      </w:r>
      <w:bookmarkEnd w:id="48"/>
    </w:p>
    <w:p w14:paraId="481843AB" w14:textId="77777777" w:rsidR="00292BFA" w:rsidRPr="00CB64A4" w:rsidRDefault="00E657F5" w:rsidP="00CB64A4">
      <w:pPr>
        <w:pStyle w:val="BodyText"/>
        <w:rPr>
          <w:lang w:eastAsia="en-GB"/>
        </w:rPr>
      </w:pPr>
      <w:r w:rsidRPr="00CB64A4">
        <w:rPr>
          <w:lang w:eastAsia="en-GB"/>
        </w:rPr>
        <w:t>Type 1 flexible joints shall be fitted in the manner recommended by the manufacturer of the pipe.</w:t>
      </w:r>
    </w:p>
    <w:p w14:paraId="65E8CFFC" w14:textId="77777777" w:rsidR="00292BFA" w:rsidRPr="00CB64A4" w:rsidRDefault="00E657F5" w:rsidP="00CB64A4">
      <w:pPr>
        <w:pStyle w:val="BodyText"/>
        <w:rPr>
          <w:lang w:eastAsia="en-GB"/>
        </w:rPr>
      </w:pPr>
      <w:r w:rsidRPr="00CB64A4">
        <w:rPr>
          <w:lang w:eastAsia="en-GB"/>
        </w:rPr>
        <w:t>Type 2 cement mortar joints will only be permitted in exceptional circumstances and only with the approval of the Engineer and they shall be formed by soundly caulking with gaskin and pointed with 1 part cement to 3 parts sand mortar (Clause 2.3) to fill the joint completely and form a 450 fillet to the outer periphery of the socket.</w:t>
      </w:r>
    </w:p>
    <w:p w14:paraId="2F7FE0B9" w14:textId="77777777" w:rsidR="00292BFA" w:rsidRPr="00CB64A4" w:rsidRDefault="00E657F5" w:rsidP="00CB64A4">
      <w:pPr>
        <w:pStyle w:val="BodyText"/>
        <w:rPr>
          <w:lang w:eastAsia="en-GB"/>
        </w:rPr>
      </w:pPr>
      <w:r w:rsidRPr="00CB64A4">
        <w:rPr>
          <w:lang w:eastAsia="en-GB"/>
        </w:rPr>
        <w:t>Pipes required to be laid with open joints shall be laid and supported concentrically with a space of 13mm between the spigot and socket.  Open-jointed porous concrete pipes and perforated clay pipes with rebated joints shall have dry joints.</w:t>
      </w:r>
    </w:p>
    <w:p w14:paraId="57DCDB71" w14:textId="77777777" w:rsidR="00292BFA" w:rsidRPr="00CB64A4" w:rsidRDefault="00E657F5" w:rsidP="00CB64A4">
      <w:pPr>
        <w:pStyle w:val="BodyText"/>
        <w:rPr>
          <w:lang w:eastAsia="en-GB"/>
        </w:rPr>
      </w:pPr>
      <w:r w:rsidRPr="00CB64A4">
        <w:rPr>
          <w:lang w:eastAsia="en-GB"/>
        </w:rPr>
        <w:t>Upon completion of laying and jointing all pipelines shall be free from obstruction and a spherical mandrel 10mm less than the nominal bore of the pipeline shall be drawn through all pipelines less than 350mm diameter.</w:t>
      </w:r>
    </w:p>
    <w:p w14:paraId="4EDB6DC5" w14:textId="77777777" w:rsidR="00292BFA" w:rsidRPr="00CB64A4" w:rsidRDefault="00E657F5" w:rsidP="00CB64A4">
      <w:pPr>
        <w:pStyle w:val="BodyText"/>
        <w:rPr>
          <w:lang w:eastAsia="en-GB"/>
        </w:rPr>
      </w:pPr>
      <w:r w:rsidRPr="00CB64A4">
        <w:rPr>
          <w:lang w:eastAsia="en-GB"/>
        </w:rPr>
        <w:t>For pipes over 600mm diameter the Developer shall comply with the additional requirements of the Engineer.</w:t>
      </w:r>
    </w:p>
    <w:p w14:paraId="530EF1BC" w14:textId="77777777" w:rsidR="00292BFA" w:rsidRDefault="00E657F5" w:rsidP="00A02DF7">
      <w:pPr>
        <w:pStyle w:val="Heading2"/>
        <w:ind w:left="1021" w:hanging="1021"/>
      </w:pPr>
      <w:bookmarkStart w:id="49" w:name="_Toc87942683"/>
      <w:r>
        <w:t>Connections to existing and new sewers and culverts</w:t>
      </w:r>
      <w:bookmarkEnd w:id="49"/>
    </w:p>
    <w:p w14:paraId="7F5CAAF6" w14:textId="77777777" w:rsidR="00292BFA" w:rsidRPr="00CB64A4" w:rsidRDefault="00E657F5" w:rsidP="00CB64A4">
      <w:pPr>
        <w:pStyle w:val="BodyText"/>
        <w:rPr>
          <w:lang w:eastAsia="en-GB"/>
        </w:rPr>
      </w:pPr>
      <w:r w:rsidRPr="00CB64A4">
        <w:rPr>
          <w:lang w:eastAsia="en-GB"/>
        </w:rPr>
        <w:t xml:space="preserve">Existing sewers, drains and culverts affected by the works shall be properly connected and jointed to the respective new sewers drains and culverts as construction proceeds.  The Developer shall carry out any searches, </w:t>
      </w:r>
      <w:r w:rsidR="00AA50C0" w:rsidRPr="00CB64A4">
        <w:rPr>
          <w:lang w:eastAsia="en-GB"/>
        </w:rPr>
        <w:t>tests,</w:t>
      </w:r>
      <w:r w:rsidRPr="00CB64A4">
        <w:rPr>
          <w:lang w:eastAsia="en-GB"/>
        </w:rPr>
        <w:t xml:space="preserve"> and trial holes necessary to locate existing culverts sewers, drains and culverts.</w:t>
      </w:r>
    </w:p>
    <w:p w14:paraId="21178E43" w14:textId="77777777" w:rsidR="009B4F20" w:rsidRDefault="00E657F5" w:rsidP="00CB64A4">
      <w:pPr>
        <w:pStyle w:val="BodyText"/>
        <w:rPr>
          <w:lang w:eastAsia="en-GB"/>
        </w:rPr>
      </w:pPr>
      <w:r w:rsidRPr="00CB64A4">
        <w:rPr>
          <w:lang w:eastAsia="en-GB"/>
        </w:rPr>
        <w:t>Before breaking into an existing sewer, drain or culvert, the Developer shall give notice of their intention and receive the</w:t>
      </w:r>
      <w:r w:rsidR="003F0BAD" w:rsidRPr="003F0BAD">
        <w:rPr>
          <w:b/>
          <w:bCs/>
          <w:color w:val="FF0000"/>
          <w:lang w:eastAsia="en-GB"/>
        </w:rPr>
        <w:t xml:space="preserve"> </w:t>
      </w:r>
      <w:r w:rsidR="003F0BAD" w:rsidRPr="006B2933">
        <w:rPr>
          <w:color w:val="auto"/>
          <w:lang w:eastAsia="en-GB"/>
        </w:rPr>
        <w:t xml:space="preserve">required approval of the regulating Authority and the asset owner responsible for the sewer, drain or culvert. </w:t>
      </w:r>
      <w:r w:rsidR="003F0BAD" w:rsidRPr="006B2933">
        <w:rPr>
          <w:color w:val="auto"/>
        </w:rPr>
        <w:t xml:space="preserve">Any works, either permanent or temporary, within the banks of any ordinary watercourse which may alter or impede the flow of water, regardless of whether the watercourse is culverted or not, will require ordinary watercourse consent from the Lead Local Flood Authority. Consent must be obtained before starting any works to an ordinary watercourse, it cannot be issued retrospectively. Unconsented works within the highway may prevent adoption. </w:t>
      </w:r>
      <w:r w:rsidR="003F0BAD" w:rsidRPr="006B2933">
        <w:rPr>
          <w:color w:val="auto"/>
          <w:lang w:eastAsia="en-GB"/>
        </w:rPr>
        <w:t>An Environmental Permit for Flood Risk Activities from the Environment Agency for works to main rivers will be required if a culvert is classified as a main river.</w:t>
      </w:r>
    </w:p>
    <w:p w14:paraId="1FB97396" w14:textId="77777777" w:rsidR="00292BFA" w:rsidRPr="00CB64A4" w:rsidRDefault="00E657F5" w:rsidP="00CB64A4">
      <w:pPr>
        <w:pStyle w:val="BodyText"/>
        <w:rPr>
          <w:lang w:eastAsia="en-GB"/>
        </w:rPr>
      </w:pPr>
      <w:r w:rsidRPr="00CB64A4">
        <w:rPr>
          <w:lang w:eastAsia="en-GB"/>
        </w:rPr>
        <w:t>The right is reserved to require connections to existing sewers to be made by the Water Company, or District or County Council, who will recharge the Developer for this work.</w:t>
      </w:r>
    </w:p>
    <w:p w14:paraId="289413C4" w14:textId="77777777" w:rsidR="00292BFA" w:rsidRPr="00CB64A4" w:rsidRDefault="00E657F5" w:rsidP="00CB64A4">
      <w:pPr>
        <w:pStyle w:val="BodyText"/>
        <w:rPr>
          <w:lang w:eastAsia="en-GB"/>
        </w:rPr>
      </w:pPr>
      <w:r w:rsidRPr="00CB64A4">
        <w:rPr>
          <w:lang w:eastAsia="en-GB"/>
        </w:rPr>
        <w:t>Connections will normally be made at manhole positions and if there is not an existing manhole at the proposed point of connection then the Developer shall at his own expense construct a new manhole at the point of connection.</w:t>
      </w:r>
    </w:p>
    <w:p w14:paraId="53C70A9D" w14:textId="77777777" w:rsidR="00292BFA" w:rsidRPr="00CB64A4" w:rsidRDefault="00E657F5" w:rsidP="00CB64A4">
      <w:pPr>
        <w:pStyle w:val="BodyText"/>
        <w:rPr>
          <w:lang w:eastAsia="en-GB"/>
        </w:rPr>
      </w:pPr>
      <w:r w:rsidRPr="00CB64A4">
        <w:rPr>
          <w:lang w:eastAsia="en-GB"/>
        </w:rPr>
        <w:t>The treatment of connections to deep or large diameter sewers will be the subject of individual consideration in each case.</w:t>
      </w:r>
    </w:p>
    <w:p w14:paraId="15EEFCA8" w14:textId="77777777" w:rsidR="00292BFA" w:rsidRPr="00CB64A4" w:rsidRDefault="00E657F5" w:rsidP="00CB64A4">
      <w:pPr>
        <w:pStyle w:val="BodyText"/>
        <w:rPr>
          <w:lang w:eastAsia="en-GB"/>
        </w:rPr>
      </w:pPr>
      <w:r w:rsidRPr="00CB64A4">
        <w:rPr>
          <w:lang w:eastAsia="en-GB"/>
        </w:rPr>
        <w:t>For existing and future connections, junction pipes shall be inserted as necessary during construction, the jointing being carried out as specified for the type of pipe.  Any branches which are not immediately connected in sewers shall be sealed with vitrified clay stoppers set in puddle clay, Clause 3.8.  Where shown on the approved Drawings existing sewers and drains shall be properly extended, connected, and jointed to new sewers, culverts, drains or channels.  All such connections shall be made during the construction of the main sewer, drain or other work and their positions recorded at that time by the Developer</w:t>
      </w:r>
      <w:r w:rsidR="0015582C">
        <w:rPr>
          <w:lang w:eastAsia="en-GB"/>
        </w:rPr>
        <w:t>.</w:t>
      </w:r>
    </w:p>
    <w:p w14:paraId="0C5F87C9" w14:textId="77777777" w:rsidR="00292BFA" w:rsidRPr="00CB64A4" w:rsidRDefault="00E657F5" w:rsidP="00CB64A4">
      <w:pPr>
        <w:pStyle w:val="BodyText"/>
        <w:rPr>
          <w:lang w:eastAsia="en-GB"/>
        </w:rPr>
      </w:pPr>
      <w:r w:rsidRPr="00CB64A4">
        <w:rPr>
          <w:lang w:eastAsia="en-GB"/>
        </w:rPr>
        <w:t>Where pipe connections are to be made to a brick sewer, brick or concrete, culvert, stone built or lined channel the pipes shall be built into the wall of the sewer, culvert or channel and aligned to discharge at an angle not greater than 60</w:t>
      </w:r>
      <w:r w:rsidR="00162339">
        <w:rPr>
          <w:rFonts w:cs="Arial"/>
          <w:lang w:eastAsia="en-GB"/>
        </w:rPr>
        <w:t>°</w:t>
      </w:r>
      <w:r w:rsidRPr="00CB64A4">
        <w:rPr>
          <w:lang w:eastAsia="en-GB"/>
        </w:rPr>
        <w:t xml:space="preserve"> to the direction of flow of the main sewer, </w:t>
      </w:r>
      <w:r w:rsidR="00AA50C0" w:rsidRPr="00CB64A4">
        <w:rPr>
          <w:lang w:eastAsia="en-GB"/>
        </w:rPr>
        <w:t>culvert,</w:t>
      </w:r>
      <w:r w:rsidRPr="00CB64A4">
        <w:rPr>
          <w:lang w:eastAsia="en-GB"/>
        </w:rPr>
        <w:t xml:space="preserve"> or channel.  The existing pipe shall be cut using a diamond cutter or other approved means.  A purpose made saddle or junction pipe is to be used wherever possible.  Where this is not possible the junction pipe is to be neatly cut to the correct skew angle, the end of the pipe carefully cut flush with the wall and made good to the satisfaction of the Engineer.  For pipes more than 825mm diameter the junction is to be made good from the inside.</w:t>
      </w:r>
    </w:p>
    <w:p w14:paraId="47E8D9D3" w14:textId="77777777" w:rsidR="00292BFA" w:rsidRDefault="00E657F5" w:rsidP="00CB64A4">
      <w:pPr>
        <w:pStyle w:val="BodyText"/>
        <w:rPr>
          <w:lang w:eastAsia="en-GB"/>
        </w:rPr>
      </w:pPr>
      <w:r w:rsidRPr="00CB64A4">
        <w:rPr>
          <w:lang w:eastAsia="en-GB"/>
        </w:rPr>
        <w:t xml:space="preserve">The Developer shall to the satisfaction of the Engineer, provide suitable and sufficient pumps, construct all necessary temporary works including dams, chutes, troughs, and pipes to maintain the flow in existing sewers and drains during construction and whilst connecting the new works to the existing sewers and drains and </w:t>
      </w:r>
      <w:r w:rsidR="00162339">
        <w:rPr>
          <w:lang w:eastAsia="en-GB"/>
        </w:rPr>
        <w:t>subsequently make</w:t>
      </w:r>
      <w:r w:rsidR="00162339" w:rsidRPr="00CB64A4">
        <w:rPr>
          <w:lang w:eastAsia="en-GB"/>
        </w:rPr>
        <w:t xml:space="preserve"> </w:t>
      </w:r>
      <w:r w:rsidRPr="00CB64A4">
        <w:rPr>
          <w:lang w:eastAsia="en-GB"/>
        </w:rPr>
        <w:t>good on completion to the satisfaction of the Engineer.</w:t>
      </w:r>
    </w:p>
    <w:p w14:paraId="4AF94925" w14:textId="77777777" w:rsidR="00BB233B" w:rsidRDefault="00E657F5" w:rsidP="00A02DF7">
      <w:pPr>
        <w:pStyle w:val="Heading2"/>
        <w:ind w:left="1021" w:hanging="1021"/>
      </w:pPr>
      <w:r>
        <w:t>Manholes, Catchpits – General Requirements</w:t>
      </w:r>
    </w:p>
    <w:p w14:paraId="5877F3F2" w14:textId="77777777" w:rsidR="00BB233B" w:rsidRPr="00BB233B" w:rsidRDefault="00E657F5" w:rsidP="00BB233B">
      <w:pPr>
        <w:pStyle w:val="BodyText"/>
        <w:rPr>
          <w:lang w:eastAsia="en-GB"/>
        </w:rPr>
      </w:pPr>
      <w:r w:rsidRPr="00BB233B">
        <w:rPr>
          <w:lang w:eastAsia="en-GB"/>
        </w:rPr>
        <w:t xml:space="preserve">Manholes and catchpits shall be constructed of precast concrete sections in accordance with the </w:t>
      </w:r>
      <w:r w:rsidR="00D139EF">
        <w:rPr>
          <w:lang w:eastAsia="en-GB"/>
        </w:rPr>
        <w:t xml:space="preserve">MCHW </w:t>
      </w:r>
      <w:r w:rsidR="00E66418">
        <w:rPr>
          <w:lang w:eastAsia="en-GB"/>
        </w:rPr>
        <w:t>Volume 3 – Highway Construction Details, F Series</w:t>
      </w:r>
      <w:r w:rsidRPr="00BB233B">
        <w:rPr>
          <w:lang w:eastAsia="en-GB"/>
        </w:rPr>
        <w:t>. All manholes exceeding 4m in depth shall be designed to the Engineer's special requirements.</w:t>
      </w:r>
    </w:p>
    <w:p w14:paraId="0CD66D26" w14:textId="77777777" w:rsidR="00BB233B" w:rsidRPr="00BB233B" w:rsidRDefault="00E657F5" w:rsidP="00BB233B">
      <w:pPr>
        <w:pStyle w:val="BodyText"/>
        <w:rPr>
          <w:lang w:eastAsia="en-GB"/>
        </w:rPr>
      </w:pPr>
      <w:r w:rsidRPr="00BB233B">
        <w:rPr>
          <w:lang w:eastAsia="en-GB"/>
        </w:rPr>
        <w:t>Sulphate-resisting cement shall be used in all precast concrete sections and in-situ concrete, mortar, or grout where this is necessary because of the sulphate content of the ground water or water carried.</w:t>
      </w:r>
    </w:p>
    <w:p w14:paraId="1926034E" w14:textId="77777777" w:rsidR="00BB233B" w:rsidRPr="00BB233B" w:rsidRDefault="00E657F5" w:rsidP="00BB233B">
      <w:pPr>
        <w:pStyle w:val="BodyText"/>
        <w:rPr>
          <w:lang w:eastAsia="en-GB"/>
        </w:rPr>
      </w:pPr>
      <w:r w:rsidRPr="00BB233B">
        <w:rPr>
          <w:lang w:eastAsia="en-GB"/>
        </w:rPr>
        <w:t xml:space="preserve">Foundations and bases to manholes and catchpits shall be in mix ST4 concrete, medium workability. All in-situ concrete in manholes shall conform to the </w:t>
      </w:r>
      <w:r w:rsidR="007330BE">
        <w:rPr>
          <w:lang w:eastAsia="en-GB"/>
        </w:rPr>
        <w:t>C</w:t>
      </w:r>
      <w:r w:rsidRPr="00BB233B">
        <w:rPr>
          <w:lang w:eastAsia="en-GB"/>
        </w:rPr>
        <w:t xml:space="preserve">lauses of this specification relating to concrete, reinforcement, shuttering etc., pipes being built </w:t>
      </w:r>
      <w:r w:rsidR="00AA50C0">
        <w:rPr>
          <w:lang w:eastAsia="en-GB"/>
        </w:rPr>
        <w:t>as</w:t>
      </w:r>
      <w:r w:rsidRPr="00BB233B">
        <w:rPr>
          <w:lang w:eastAsia="en-GB"/>
        </w:rPr>
        <w:t xml:space="preserve"> shown or directed.</w:t>
      </w:r>
    </w:p>
    <w:p w14:paraId="62597929" w14:textId="77777777" w:rsidR="00BB233B" w:rsidRPr="00BB233B" w:rsidRDefault="00E657F5" w:rsidP="00BB233B">
      <w:pPr>
        <w:pStyle w:val="BodyText"/>
        <w:rPr>
          <w:lang w:eastAsia="en-GB"/>
        </w:rPr>
      </w:pPr>
      <w:r w:rsidRPr="00BB233B">
        <w:rPr>
          <w:lang w:eastAsia="en-GB"/>
        </w:rPr>
        <w:t>Channels and inverts shall be formed in prefabricated half-round channels bedded in mix ST4 concrete, medium workability, or formed in-situ in mix ST4 concrete, medium workability, which shall be made with sulphate-resisting cement where necessary.  Inverts shall be carefully formed and where pipes of different radii enter or leave the manhole the inverts shall be semi-circular and evenly tapered to suit the dimensions of the pipes or tubes and in accordance with the details shown on the drawings. Inverts and benching shall be formed to the shapes and dimensions shown upon the approved drawings.  Purpose made shutters shall be used.</w:t>
      </w:r>
    </w:p>
    <w:p w14:paraId="1D8A1215" w14:textId="77777777" w:rsidR="00BB233B" w:rsidRPr="00BB233B" w:rsidRDefault="00E657F5" w:rsidP="00BB233B">
      <w:pPr>
        <w:pStyle w:val="BodyText"/>
        <w:rPr>
          <w:lang w:eastAsia="en-GB"/>
        </w:rPr>
      </w:pPr>
      <w:r w:rsidRPr="00BB233B">
        <w:rPr>
          <w:lang w:eastAsia="en-GB"/>
        </w:rPr>
        <w:t xml:space="preserve">All pipes and tubes entering or leaving the manholes shall, unless otherwise specifically directed by the Engineer have level soffits.  Under no circumstances should pipes or connections discharge over or above </w:t>
      </w:r>
      <w:r w:rsidR="00AA50C0" w:rsidRPr="00BB233B">
        <w:rPr>
          <w:lang w:eastAsia="en-GB"/>
        </w:rPr>
        <w:t>benching</w:t>
      </w:r>
      <w:r w:rsidRPr="00BB233B">
        <w:rPr>
          <w:lang w:eastAsia="en-GB"/>
        </w:rPr>
        <w:t>.</w:t>
      </w:r>
    </w:p>
    <w:p w14:paraId="54E47097" w14:textId="77777777" w:rsidR="00BB233B" w:rsidRPr="00BB233B" w:rsidRDefault="00E657F5" w:rsidP="00BB233B">
      <w:pPr>
        <w:pStyle w:val="BodyText"/>
        <w:rPr>
          <w:lang w:eastAsia="en-GB"/>
        </w:rPr>
      </w:pPr>
      <w:r w:rsidRPr="00BB233B">
        <w:rPr>
          <w:lang w:eastAsia="en-GB"/>
        </w:rPr>
        <w:t xml:space="preserve">Manholes with outlet pipes of 600mm or over shall be fitted with a </w:t>
      </w:r>
      <w:r w:rsidR="00E66418" w:rsidRPr="00BB233B">
        <w:rPr>
          <w:lang w:eastAsia="en-GB"/>
        </w:rPr>
        <w:t>stainless-steel</w:t>
      </w:r>
      <w:r w:rsidRPr="00BB233B">
        <w:rPr>
          <w:lang w:eastAsia="en-GB"/>
        </w:rPr>
        <w:t xml:space="preserve"> close link safety chain 10mm diameter with a 30mm diameter hook and eye bolted to the benching across the outlet pipe and 25mm diameter stainless steel holding bar complete with fixing eye.</w:t>
      </w:r>
    </w:p>
    <w:p w14:paraId="5AC03D33" w14:textId="77777777" w:rsidR="00BB233B" w:rsidRPr="00BB233B" w:rsidRDefault="00E657F5" w:rsidP="00BB233B">
      <w:pPr>
        <w:pStyle w:val="BodyText"/>
        <w:rPr>
          <w:lang w:eastAsia="en-GB"/>
        </w:rPr>
      </w:pPr>
      <w:bookmarkStart w:id="50" w:name="_Ref87943409"/>
      <w:r w:rsidRPr="00BB233B">
        <w:rPr>
          <w:lang w:eastAsia="en-GB"/>
        </w:rPr>
        <w:t>Step irons complying with BS</w:t>
      </w:r>
      <w:r w:rsidR="00162339">
        <w:rPr>
          <w:lang w:eastAsia="en-GB"/>
        </w:rPr>
        <w:t xml:space="preserve"> </w:t>
      </w:r>
      <w:r w:rsidRPr="00BB233B">
        <w:rPr>
          <w:lang w:eastAsia="en-GB"/>
        </w:rPr>
        <w:t>EN 13101 shall be provided where the invert depth below finished surface (cover) level exceeds 1m.  They shall be built in at a vertical interval of 300mm with alternate steps in line vertically and at 225mm centre to centre horizontally.  The mortar used in building-in shall be that used in constructing the manhole.</w:t>
      </w:r>
      <w:bookmarkEnd w:id="50"/>
    </w:p>
    <w:p w14:paraId="1BF8C065" w14:textId="77777777" w:rsidR="00BB233B" w:rsidRPr="00BB233B" w:rsidRDefault="00E657F5" w:rsidP="00BB233B">
      <w:pPr>
        <w:pStyle w:val="BodyText"/>
        <w:rPr>
          <w:lang w:eastAsia="en-GB"/>
        </w:rPr>
      </w:pPr>
      <w:r w:rsidRPr="00BB233B">
        <w:rPr>
          <w:lang w:eastAsia="en-GB"/>
        </w:rPr>
        <w:t>Where pipes are required to be built into manholes for future connections these are to be closed with vitrified clay stoppers of appropriate sizes which shall be provided and fixed with puddle clay and cement filled.  For larger sizes 525mm diameter and above, a 102.5mm brick wall in weak mortar shall be built in them.</w:t>
      </w:r>
    </w:p>
    <w:p w14:paraId="30F9A7A0" w14:textId="77777777" w:rsidR="00BB233B" w:rsidRDefault="00E657F5" w:rsidP="00A02DF7">
      <w:pPr>
        <w:pStyle w:val="Heading2"/>
        <w:ind w:left="1021" w:hanging="1021"/>
      </w:pPr>
      <w:r>
        <w:t>Precast Concrete Manholes</w:t>
      </w:r>
    </w:p>
    <w:p w14:paraId="74A08328" w14:textId="77777777" w:rsidR="00BB233B" w:rsidRPr="00BB233B" w:rsidRDefault="00E657F5" w:rsidP="00BB233B">
      <w:pPr>
        <w:pStyle w:val="BodyText"/>
        <w:rPr>
          <w:lang w:eastAsia="en-GB"/>
        </w:rPr>
      </w:pPr>
      <w:r w:rsidRPr="00BB233B">
        <w:rPr>
          <w:lang w:eastAsia="en-GB"/>
        </w:rPr>
        <w:t xml:space="preserve">Precast concrete manholes </w:t>
      </w:r>
      <w:r w:rsidR="00D306F2" w:rsidRPr="00BB233B">
        <w:rPr>
          <w:lang w:eastAsia="en-GB"/>
        </w:rPr>
        <w:t xml:space="preserve">shall be constructed of precast concrete sections in accordance with the </w:t>
      </w:r>
      <w:r w:rsidR="00D306F2">
        <w:rPr>
          <w:lang w:eastAsia="en-GB"/>
        </w:rPr>
        <w:t>MCHW Volume 3 – Highway Construction Details, F Series, F4-F7</w:t>
      </w:r>
      <w:r w:rsidRPr="00BB233B">
        <w:rPr>
          <w:lang w:eastAsia="en-GB"/>
        </w:rPr>
        <w:t>.  The precast concrete manhole units shall comply with the requirements of BS5911 Part 3 and BS EN 1917.</w:t>
      </w:r>
    </w:p>
    <w:p w14:paraId="4CD49429" w14:textId="77777777" w:rsidR="00BB233B" w:rsidRPr="00BB233B" w:rsidRDefault="00E657F5" w:rsidP="00BB233B">
      <w:pPr>
        <w:pStyle w:val="BodyText"/>
        <w:rPr>
          <w:lang w:eastAsia="en-GB"/>
        </w:rPr>
      </w:pPr>
      <w:r w:rsidRPr="00BB233B">
        <w:rPr>
          <w:lang w:eastAsia="en-GB"/>
        </w:rPr>
        <w:t>On 75mm of concrete blinding mix ST2, medium workability, a 225mm thick, mix ST4, medium workability, in-situ concrete base shall be placed, on which the invert formed from half-round clay or concrete channel, pipes, tapers, bends and junctions as appropriate shall be laid.  Alternatively, with the approval of the Engineer, inverts may be shuttered and cast in-situ.</w:t>
      </w:r>
    </w:p>
    <w:p w14:paraId="1244C1D6" w14:textId="77777777" w:rsidR="00BB233B" w:rsidRPr="00BB233B" w:rsidRDefault="00E657F5" w:rsidP="00BB233B">
      <w:pPr>
        <w:pStyle w:val="BodyText"/>
        <w:rPr>
          <w:lang w:eastAsia="en-GB"/>
        </w:rPr>
      </w:pPr>
      <w:r w:rsidRPr="00BB233B">
        <w:rPr>
          <w:lang w:eastAsia="en-GB"/>
        </w:rPr>
        <w:t>The limit of the mix ST4 medium workability concrete stooling shall be 50mm above the seating level of the bottom chamber ring</w:t>
      </w:r>
      <w:r w:rsidR="00E66418">
        <w:rPr>
          <w:lang w:eastAsia="en-GB"/>
        </w:rPr>
        <w:t>.</w:t>
      </w:r>
    </w:p>
    <w:p w14:paraId="72CCF985" w14:textId="77777777" w:rsidR="00BB233B" w:rsidRPr="00BB233B" w:rsidRDefault="00E657F5" w:rsidP="00BB233B">
      <w:pPr>
        <w:pStyle w:val="BodyText"/>
        <w:rPr>
          <w:lang w:eastAsia="en-GB"/>
        </w:rPr>
      </w:pPr>
      <w:r w:rsidRPr="00BB233B">
        <w:rPr>
          <w:lang w:eastAsia="en-GB"/>
        </w:rPr>
        <w:t xml:space="preserve">The precast concrete rings shall sit on the concrete stooling and be bedded in cement mortar.  Each joint shall be carefully cleaned, and flush pointed with cement mortar and when completed the inner faces of the manholes shall be true and smooth throughout.  Pipes extending into manholes shall be trimmed flush with the inside walls and shall be neatly pointed in cement mortar.  Galvanised malleable iron step irons in accordance with </w:t>
      </w:r>
      <w:r w:rsidR="007330BE">
        <w:rPr>
          <w:lang w:eastAsia="en-GB"/>
        </w:rPr>
        <w:t>C</w:t>
      </w:r>
      <w:r w:rsidRPr="00BB233B">
        <w:rPr>
          <w:lang w:eastAsia="en-GB"/>
        </w:rPr>
        <w:t xml:space="preserve">lause </w:t>
      </w:r>
      <w:r w:rsidR="00D446F3">
        <w:rPr>
          <w:lang w:eastAsia="en-GB"/>
        </w:rPr>
        <w:t>3.21</w:t>
      </w:r>
      <w:r w:rsidRPr="00BB233B">
        <w:rPr>
          <w:lang w:eastAsia="en-GB"/>
        </w:rPr>
        <w:t xml:space="preserve"> shall be built in the manhole.</w:t>
      </w:r>
    </w:p>
    <w:p w14:paraId="3C8D47CC" w14:textId="77777777" w:rsidR="00BB233B" w:rsidRPr="00BB233B" w:rsidRDefault="00E657F5" w:rsidP="00BB233B">
      <w:pPr>
        <w:pStyle w:val="BodyText"/>
        <w:rPr>
          <w:lang w:eastAsia="en-GB"/>
        </w:rPr>
      </w:pPr>
      <w:r w:rsidRPr="00BB233B">
        <w:rPr>
          <w:lang w:eastAsia="en-GB"/>
        </w:rPr>
        <w:t>Alternatively in manholes deeper than 3.0m to top of benching stainless</w:t>
      </w:r>
      <w:r w:rsidR="00537D3A">
        <w:rPr>
          <w:lang w:eastAsia="en-GB"/>
        </w:rPr>
        <w:t>-</w:t>
      </w:r>
      <w:r w:rsidRPr="00BB233B">
        <w:rPr>
          <w:lang w:eastAsia="en-GB"/>
        </w:rPr>
        <w:t>steel ladders shall be provided</w:t>
      </w:r>
    </w:p>
    <w:p w14:paraId="130826EB" w14:textId="77777777" w:rsidR="00BB233B" w:rsidRPr="00BB233B" w:rsidRDefault="00E657F5" w:rsidP="00BB233B">
      <w:pPr>
        <w:pStyle w:val="BodyText"/>
        <w:rPr>
          <w:lang w:eastAsia="en-GB"/>
        </w:rPr>
      </w:pPr>
      <w:r w:rsidRPr="00BB233B">
        <w:rPr>
          <w:lang w:eastAsia="en-GB"/>
        </w:rPr>
        <w:t>The manhole chambers and shafts shall be surrounded with 150mm of mix ST4, high workability concrete.</w:t>
      </w:r>
    </w:p>
    <w:p w14:paraId="3AC9B5A0" w14:textId="77777777" w:rsidR="00BB233B" w:rsidRPr="00BB233B" w:rsidRDefault="00E657F5" w:rsidP="00BB233B">
      <w:pPr>
        <w:pStyle w:val="BodyText"/>
        <w:rPr>
          <w:lang w:eastAsia="en-GB"/>
        </w:rPr>
      </w:pPr>
      <w:r w:rsidRPr="00BB233B">
        <w:rPr>
          <w:lang w:eastAsia="en-GB"/>
        </w:rPr>
        <w:t>The chamber rings shall be at least 900mm in diameter for pipes up to and including 300mm diameter.  For 375mm diameter pipes and over the minimum diameter for chamber rings shall be not less than 600mm greater than the largest pipe diameter.  A reducing slab may be fitted to a manhole to reduce the chamber to a shaft size of 900mm diameter provided that a minimum height of 2m is obtained from the benching to the base of the slab.</w:t>
      </w:r>
    </w:p>
    <w:p w14:paraId="67499410" w14:textId="77777777" w:rsidR="00BB233B" w:rsidRPr="00BB233B" w:rsidRDefault="00E657F5" w:rsidP="00BB233B">
      <w:pPr>
        <w:pStyle w:val="BodyText"/>
        <w:rPr>
          <w:lang w:eastAsia="en-GB"/>
        </w:rPr>
      </w:pPr>
      <w:r w:rsidRPr="00BB233B">
        <w:rPr>
          <w:lang w:eastAsia="en-GB"/>
        </w:rPr>
        <w:t>All manhole chamber and shaft rings shall be provided with lifting holes and on no account shall step irons be used for lifting.</w:t>
      </w:r>
    </w:p>
    <w:p w14:paraId="0CC21AF5" w14:textId="77777777" w:rsidR="00BB233B" w:rsidRPr="00BB233B" w:rsidRDefault="00E657F5" w:rsidP="00BB233B">
      <w:pPr>
        <w:pStyle w:val="BodyText"/>
        <w:rPr>
          <w:lang w:eastAsia="en-GB"/>
        </w:rPr>
      </w:pPr>
      <w:r w:rsidRPr="00BB233B">
        <w:rPr>
          <w:lang w:eastAsia="en-GB"/>
        </w:rPr>
        <w:t xml:space="preserve">The pipe shafts to drop manholes shall be formed with earthenware or concrete pipes and bends completely surrounded with 150mm concrete, mix ST4, high workability.  All manholes shall be watertight on completion and to the satisfaction of the Engineer.  The space between the new construction and the face of the excavation shall be filled with mix ST4, high workability, concrete or with the approved material, see </w:t>
      </w:r>
      <w:r w:rsidRPr="00545134">
        <w:rPr>
          <w:lang w:eastAsia="en-GB"/>
        </w:rPr>
        <w:t>Clause 3.26.</w:t>
      </w:r>
      <w:r w:rsidR="00796BD4" w:rsidRPr="00545134">
        <w:rPr>
          <w:lang w:eastAsia="en-GB"/>
        </w:rPr>
        <w:t>2</w:t>
      </w:r>
      <w:r w:rsidRPr="00BB233B">
        <w:rPr>
          <w:lang w:eastAsia="en-GB"/>
        </w:rPr>
        <w:t>.</w:t>
      </w:r>
    </w:p>
    <w:p w14:paraId="0D90E71F" w14:textId="77777777" w:rsidR="00BB233B" w:rsidRDefault="00E657F5" w:rsidP="00A02DF7">
      <w:pPr>
        <w:pStyle w:val="Heading2"/>
        <w:ind w:left="1021" w:hanging="1021"/>
      </w:pPr>
      <w:r>
        <w:t>Brick Manholes</w:t>
      </w:r>
    </w:p>
    <w:p w14:paraId="0AFF59FF" w14:textId="77777777" w:rsidR="00BB233B" w:rsidRPr="00320988" w:rsidRDefault="00E657F5" w:rsidP="00320988">
      <w:pPr>
        <w:pStyle w:val="BodyText"/>
        <w:rPr>
          <w:lang w:eastAsia="en-GB"/>
        </w:rPr>
      </w:pPr>
      <w:r w:rsidRPr="00320988">
        <w:rPr>
          <w:lang w:eastAsia="en-GB"/>
        </w:rPr>
        <w:t>Brick manholes shall only be used where precast concrete manholes are considered inappropriate and must have the approval of the Engineer.</w:t>
      </w:r>
    </w:p>
    <w:p w14:paraId="012C34ED" w14:textId="77777777" w:rsidR="00BB233B" w:rsidRDefault="00E657F5" w:rsidP="00A02DF7">
      <w:pPr>
        <w:pStyle w:val="Heading2"/>
        <w:ind w:left="1021" w:hanging="1021"/>
      </w:pPr>
      <w:r>
        <w:t>Construction of Gullies</w:t>
      </w:r>
    </w:p>
    <w:p w14:paraId="17F71ECC" w14:textId="77777777" w:rsidR="00BB233B" w:rsidRPr="00320988" w:rsidRDefault="00E657F5" w:rsidP="00320988">
      <w:pPr>
        <w:pStyle w:val="BodyText"/>
        <w:rPr>
          <w:lang w:eastAsia="en-GB"/>
        </w:rPr>
      </w:pPr>
      <w:r w:rsidRPr="00320988">
        <w:rPr>
          <w:lang w:eastAsia="en-GB"/>
        </w:rPr>
        <w:t>Gully chambers shall be set on and surrounded with 150mm minimum thickness of concrete, mix ST4, medium workability, up to the top of the chamber and finished level.</w:t>
      </w:r>
    </w:p>
    <w:p w14:paraId="7E654283" w14:textId="77777777" w:rsidR="00BB233B" w:rsidRPr="00320988" w:rsidRDefault="00E657F5" w:rsidP="00320988">
      <w:pPr>
        <w:pStyle w:val="BodyText"/>
        <w:rPr>
          <w:lang w:eastAsia="en-GB"/>
        </w:rPr>
      </w:pPr>
      <w:r w:rsidRPr="00320988">
        <w:rPr>
          <w:lang w:eastAsia="en-GB"/>
        </w:rPr>
        <w:t xml:space="preserve">A purpose made precast concrete gully cover slab shall be bedded on polyester resin mortar </w:t>
      </w:r>
      <w:r w:rsidRPr="00D56392">
        <w:rPr>
          <w:lang w:eastAsia="en-GB"/>
        </w:rPr>
        <w:t>Clause 2.3</w:t>
      </w:r>
      <w:r w:rsidRPr="00320988">
        <w:rPr>
          <w:lang w:eastAsia="en-GB"/>
        </w:rPr>
        <w:t xml:space="preserve"> on top of the gully chamber. Gully frames shall be set accurately for level and position bedded on polyester resin mortar. Where necessary a concrete mix ST4 cast in-situ raising piece shall be used to attain the correct level as</w:t>
      </w:r>
      <w:r w:rsidR="00320988" w:rsidRPr="00320988">
        <w:rPr>
          <w:lang w:eastAsia="en-GB"/>
        </w:rPr>
        <w:t>.</w:t>
      </w:r>
    </w:p>
    <w:p w14:paraId="0DB58F18" w14:textId="77777777" w:rsidR="00BB233B" w:rsidRDefault="00E657F5" w:rsidP="00A02DF7">
      <w:pPr>
        <w:pStyle w:val="Heading2"/>
        <w:ind w:left="1021" w:hanging="1021"/>
      </w:pPr>
      <w:r w:rsidRPr="00E11A19">
        <w:t>Gully Connections</w:t>
      </w:r>
    </w:p>
    <w:p w14:paraId="093F5261" w14:textId="77777777" w:rsidR="00BB233B" w:rsidRPr="00320988" w:rsidRDefault="00E657F5" w:rsidP="00320988">
      <w:pPr>
        <w:pStyle w:val="BodyText"/>
        <w:rPr>
          <w:lang w:eastAsia="en-GB"/>
        </w:rPr>
      </w:pPr>
      <w:r w:rsidRPr="00320988">
        <w:rPr>
          <w:lang w:eastAsia="en-GB"/>
        </w:rPr>
        <w:t>Gully connections shall be 150mm diameter surrounded with 150mm thick mix ST4, medium connections workability, and concrete.</w:t>
      </w:r>
    </w:p>
    <w:p w14:paraId="5D4811BA" w14:textId="77777777" w:rsidR="00BB233B" w:rsidRPr="00320988" w:rsidRDefault="00E657F5" w:rsidP="00320988">
      <w:pPr>
        <w:pStyle w:val="BodyText"/>
        <w:rPr>
          <w:lang w:eastAsia="en-GB"/>
        </w:rPr>
      </w:pPr>
      <w:r w:rsidRPr="00320988">
        <w:rPr>
          <w:lang w:eastAsia="en-GB"/>
        </w:rPr>
        <w:t xml:space="preserve">Junction pipes for gully connections which are laid but not immediately connected shall be fitted with vitrified clay stoppers fixed with puddled clay and a cement fillet and the position of all such connections shall be clearly defined by means of stakes or tracing wires properly marked, </w:t>
      </w:r>
      <w:r w:rsidR="00AA50C0" w:rsidRPr="00320988">
        <w:rPr>
          <w:lang w:eastAsia="en-GB"/>
        </w:rPr>
        <w:t>labelled,</w:t>
      </w:r>
      <w:r w:rsidRPr="00320988">
        <w:rPr>
          <w:lang w:eastAsia="en-GB"/>
        </w:rPr>
        <w:t xml:space="preserve"> and recorded.</w:t>
      </w:r>
    </w:p>
    <w:p w14:paraId="30DCF925" w14:textId="77777777" w:rsidR="00BB233B" w:rsidRDefault="00E657F5" w:rsidP="00A02DF7">
      <w:pPr>
        <w:pStyle w:val="Heading2"/>
        <w:ind w:left="1021" w:hanging="1021"/>
      </w:pPr>
      <w:r>
        <w:t>Filling of Trenches, Pits and around Manholes and Chambers</w:t>
      </w:r>
    </w:p>
    <w:p w14:paraId="284EBB7D" w14:textId="77777777" w:rsidR="00BB233B" w:rsidRPr="00320988" w:rsidRDefault="00E657F5" w:rsidP="00320988">
      <w:pPr>
        <w:pStyle w:val="BodyText"/>
        <w:rPr>
          <w:lang w:eastAsia="en-GB"/>
        </w:rPr>
      </w:pPr>
      <w:r w:rsidRPr="00320988">
        <w:rPr>
          <w:lang w:eastAsia="en-GB"/>
        </w:rPr>
        <w:t xml:space="preserve">Trenches, pits and the space around manholes and chambers shall be filled immediately after the construction is sufficiently completed and tested and approved by the Engineer, but not until 36 hours after the placing of any concrete or brickwork.  No filling shall commence until the permanent works have been approved by the Engineer.  </w:t>
      </w:r>
    </w:p>
    <w:p w14:paraId="6F7B62FA" w14:textId="77777777" w:rsidR="00BB233B" w:rsidRDefault="00E657F5" w:rsidP="00D56392">
      <w:pPr>
        <w:pStyle w:val="Heading3"/>
      </w:pPr>
      <w:r>
        <w:t>Backfilling to pipelines</w:t>
      </w:r>
    </w:p>
    <w:p w14:paraId="6B911657" w14:textId="77777777" w:rsidR="00BB233B" w:rsidRPr="00320988" w:rsidRDefault="00E657F5" w:rsidP="00320988">
      <w:pPr>
        <w:pStyle w:val="BodyText"/>
        <w:rPr>
          <w:lang w:eastAsia="en-GB"/>
        </w:rPr>
      </w:pPr>
      <w:r w:rsidRPr="00320988">
        <w:rPr>
          <w:lang w:eastAsia="en-GB"/>
        </w:rPr>
        <w:t>Backfill material shall consist of any one of the materials listed in paragraph 4 below.  Up to a height of 300mm above the crown of the pipe the largest pieces of filling shall have a maximum dimension not exceeding 40mm.  The backfill shall be brought up equally on both sides of the pipe first to the level of the centre line of the pipeline and then in layers not more than 150mm thickness to height of 300mm above the crown of the pipe and shall be carefully compacted for the full width of the trench with hand tools.  The remainder of the filling shall be placed in even layers not exceeding 225mm thick after compaction, and fully compacted over the whole width of the trench.</w:t>
      </w:r>
    </w:p>
    <w:p w14:paraId="3812FBD2" w14:textId="77777777" w:rsidR="00BB233B" w:rsidRDefault="00E657F5" w:rsidP="00D56392">
      <w:pPr>
        <w:pStyle w:val="Heading3"/>
      </w:pPr>
      <w:r>
        <w:t>Backfilling of pits and around manholes</w:t>
      </w:r>
    </w:p>
    <w:p w14:paraId="4B5376A3" w14:textId="77777777" w:rsidR="00BB233B" w:rsidRPr="00460F23" w:rsidRDefault="00E657F5" w:rsidP="00460F23">
      <w:pPr>
        <w:pStyle w:val="BodyText"/>
        <w:rPr>
          <w:lang w:eastAsia="en-GB"/>
        </w:rPr>
      </w:pPr>
      <w:r w:rsidRPr="00C80C02">
        <w:rPr>
          <w:lang w:eastAsia="en-GB"/>
        </w:rPr>
        <w:t xml:space="preserve">The backfill material shall consist of any one of the materials listed in </w:t>
      </w:r>
      <w:r w:rsidR="007330BE">
        <w:rPr>
          <w:lang w:eastAsia="en-GB"/>
        </w:rPr>
        <w:t>C</w:t>
      </w:r>
      <w:r w:rsidR="00796BD4" w:rsidRPr="00C80C02">
        <w:rPr>
          <w:lang w:eastAsia="en-GB"/>
        </w:rPr>
        <w:t>lause</w:t>
      </w:r>
      <w:r w:rsidR="00545134" w:rsidRPr="00C80C02">
        <w:rPr>
          <w:lang w:eastAsia="en-GB"/>
        </w:rPr>
        <w:t xml:space="preserve"> </w:t>
      </w:r>
      <w:r w:rsidR="00796BD4" w:rsidRPr="00C80C02">
        <w:rPr>
          <w:lang w:eastAsia="en-GB"/>
        </w:rPr>
        <w:t>3.26.3</w:t>
      </w:r>
      <w:r w:rsidR="00C80C02" w:rsidRPr="00C80C02">
        <w:rPr>
          <w:lang w:eastAsia="en-GB"/>
        </w:rPr>
        <w:t>.</w:t>
      </w:r>
      <w:r w:rsidRPr="00460F23">
        <w:rPr>
          <w:lang w:eastAsia="en-GB"/>
        </w:rPr>
        <w:t xml:space="preserve"> The filling shall be placed evenly over the whole area of the excavation in layers not exceeding 225mm thick after compaction and fully compacted using mechanical plant.</w:t>
      </w:r>
    </w:p>
    <w:p w14:paraId="5BFB32C4" w14:textId="77777777" w:rsidR="00BB233B" w:rsidRPr="00460F23" w:rsidRDefault="00E657F5" w:rsidP="00460F23">
      <w:pPr>
        <w:pStyle w:val="BodyText"/>
        <w:rPr>
          <w:lang w:eastAsia="en-GB"/>
        </w:rPr>
      </w:pPr>
      <w:r w:rsidRPr="00460F23">
        <w:rPr>
          <w:lang w:eastAsia="en-GB"/>
        </w:rPr>
        <w:t xml:space="preserve">Where the space around a manhole or chamber does not allow access for compaction plant, concrete as </w:t>
      </w:r>
      <w:r w:rsidR="007330BE">
        <w:rPr>
          <w:lang w:eastAsia="en-GB"/>
        </w:rPr>
        <w:t>C</w:t>
      </w:r>
      <w:r w:rsidR="00515E9E">
        <w:rPr>
          <w:lang w:eastAsia="en-GB"/>
        </w:rPr>
        <w:t xml:space="preserve">lause 3.26.3 bullet 4 </w:t>
      </w:r>
      <w:r w:rsidRPr="00460F23">
        <w:rPr>
          <w:lang w:eastAsia="en-GB"/>
        </w:rPr>
        <w:t>shall be used as fill and compacted by hand punning or vibration in layers not exceeding 225mm thick.</w:t>
      </w:r>
    </w:p>
    <w:p w14:paraId="4ED76417" w14:textId="77777777" w:rsidR="00BB233B" w:rsidRPr="00460F23" w:rsidRDefault="00E657F5" w:rsidP="00460F23">
      <w:pPr>
        <w:pStyle w:val="BodyText"/>
        <w:rPr>
          <w:lang w:eastAsia="en-GB"/>
        </w:rPr>
      </w:pPr>
      <w:r w:rsidRPr="00460F23">
        <w:rPr>
          <w:lang w:eastAsia="en-GB"/>
        </w:rPr>
        <w:t>For surface areas under carriageways of less than 6m</w:t>
      </w:r>
      <w:r w:rsidRPr="00460F23">
        <w:rPr>
          <w:vertAlign w:val="superscript"/>
          <w:lang w:eastAsia="en-GB"/>
        </w:rPr>
        <w:t>2</w:t>
      </w:r>
      <w:r w:rsidRPr="00460F23">
        <w:rPr>
          <w:lang w:eastAsia="en-GB"/>
        </w:rPr>
        <w:t xml:space="preserve"> the excavated material should not be re-used in backfilling unless otherwise instructed by the Engineer.  At major roads backfilling should be carried out wit</w:t>
      </w:r>
      <w:r w:rsidRPr="00C80C02">
        <w:rPr>
          <w:lang w:eastAsia="en-GB"/>
        </w:rPr>
        <w:t xml:space="preserve">h concrete as </w:t>
      </w:r>
      <w:r w:rsidR="007330BE">
        <w:rPr>
          <w:lang w:eastAsia="en-GB"/>
        </w:rPr>
        <w:t>C</w:t>
      </w:r>
      <w:r w:rsidR="008F1904" w:rsidRPr="00C80C02">
        <w:rPr>
          <w:lang w:eastAsia="en-GB"/>
        </w:rPr>
        <w:t xml:space="preserve">lause </w:t>
      </w:r>
      <w:r w:rsidR="00C80C02" w:rsidRPr="00C80C02">
        <w:rPr>
          <w:lang w:eastAsia="en-GB"/>
        </w:rPr>
        <w:t xml:space="preserve">3.26.3 bullet 4 </w:t>
      </w:r>
      <w:r w:rsidRPr="00C80C02">
        <w:rPr>
          <w:lang w:eastAsia="en-GB"/>
        </w:rPr>
        <w:t>and at minor roads with Type 1 sub</w:t>
      </w:r>
      <w:r w:rsidRPr="00C80C02">
        <w:rPr>
          <w:lang w:eastAsia="en-GB"/>
        </w:rPr>
        <w:noBreakHyphen/>
        <w:t xml:space="preserve">base material as </w:t>
      </w:r>
      <w:r w:rsidR="007330BE">
        <w:rPr>
          <w:lang w:eastAsia="en-GB"/>
        </w:rPr>
        <w:t>C</w:t>
      </w:r>
      <w:r w:rsidR="000606F4" w:rsidRPr="00C80C02">
        <w:rPr>
          <w:lang w:eastAsia="en-GB"/>
        </w:rPr>
        <w:t>lause 3.26.3, bullet 3</w:t>
      </w:r>
    </w:p>
    <w:p w14:paraId="3827ACDC" w14:textId="77777777" w:rsidR="00BB233B" w:rsidRDefault="00E657F5" w:rsidP="00D56392">
      <w:pPr>
        <w:pStyle w:val="Heading3"/>
      </w:pPr>
      <w:r>
        <w:t>Types of fill material</w:t>
      </w:r>
    </w:p>
    <w:p w14:paraId="651F39FA" w14:textId="77777777" w:rsidR="00BB233B" w:rsidRPr="00BB233B" w:rsidRDefault="00E657F5" w:rsidP="00BB233B">
      <w:pPr>
        <w:pStyle w:val="BodyText"/>
        <w:rPr>
          <w:lang w:eastAsia="en-GB"/>
        </w:rPr>
      </w:pPr>
      <w:r w:rsidRPr="00BB233B">
        <w:rPr>
          <w:lang w:eastAsia="en-GB"/>
        </w:rPr>
        <w:t>The fill material to be used shall be any one of the materials in the schedule below:</w:t>
      </w:r>
    </w:p>
    <w:p w14:paraId="7A0025A7" w14:textId="77777777" w:rsidR="00737D0C" w:rsidRDefault="00E657F5" w:rsidP="00876477">
      <w:pPr>
        <w:pStyle w:val="Bullet"/>
        <w:numPr>
          <w:ilvl w:val="0"/>
          <w:numId w:val="16"/>
        </w:numPr>
      </w:pPr>
      <w:r w:rsidRPr="00BB233B">
        <w:t>Suitable excavated sub-soil material accepted by the Engineer for use in the works which has been separated and protected in the manner given in paragraph 3.15. The largest pieces shall have a maximum dimension not exceeding 100mm</w:t>
      </w:r>
      <w:r>
        <w:t>.</w:t>
      </w:r>
    </w:p>
    <w:p w14:paraId="72B15ED7" w14:textId="77777777" w:rsidR="00737D0C" w:rsidRDefault="00E657F5" w:rsidP="00876477">
      <w:pPr>
        <w:pStyle w:val="Bullet"/>
        <w:numPr>
          <w:ilvl w:val="0"/>
          <w:numId w:val="16"/>
        </w:numPr>
      </w:pPr>
      <w:r w:rsidRPr="00BB233B">
        <w:t xml:space="preserve">Granular filling material which may be excavated material, but shall be well graded, </w:t>
      </w:r>
      <w:r w:rsidR="00AA50C0" w:rsidRPr="00BB233B">
        <w:t>crushed,</w:t>
      </w:r>
      <w:r w:rsidRPr="00BB233B">
        <w:t xml:space="preserve"> or broken sandstone or limestone rock, or sand/gravel.</w:t>
      </w:r>
      <w:r>
        <w:t xml:space="preserve"> </w:t>
      </w:r>
      <w:r w:rsidRPr="00BB233B">
        <w:t xml:space="preserve">The largest pieces shall have a maximum dimension not exceeding 100mm.  </w:t>
      </w:r>
    </w:p>
    <w:p w14:paraId="199062F5" w14:textId="77777777" w:rsidR="00BB233B" w:rsidRPr="00195242" w:rsidRDefault="00E657F5" w:rsidP="00876477">
      <w:pPr>
        <w:pStyle w:val="Bullet"/>
        <w:numPr>
          <w:ilvl w:val="0"/>
          <w:numId w:val="16"/>
        </w:numPr>
      </w:pPr>
      <w:r w:rsidRPr="00BB233B">
        <w:t xml:space="preserve">Type 1 sub-base material to </w:t>
      </w:r>
      <w:r w:rsidRPr="00943EF0">
        <w:t>Clause 5.4</w:t>
      </w:r>
      <w:r w:rsidRPr="00BB233B">
        <w:t>.</w:t>
      </w:r>
      <w:r w:rsidR="00AA50C0">
        <w:t>3</w:t>
      </w:r>
    </w:p>
    <w:p w14:paraId="5331066D" w14:textId="77777777" w:rsidR="00BB233B" w:rsidRPr="00BB233B" w:rsidRDefault="00E657F5" w:rsidP="00876477">
      <w:pPr>
        <w:pStyle w:val="Bullet"/>
        <w:numPr>
          <w:ilvl w:val="0"/>
          <w:numId w:val="16"/>
        </w:numPr>
      </w:pPr>
      <w:r w:rsidRPr="00BB233B">
        <w:t>Mix ST2, high workability concrete.</w:t>
      </w:r>
    </w:p>
    <w:p w14:paraId="1AD070FF" w14:textId="77777777" w:rsidR="00BB233B" w:rsidRDefault="00E657F5" w:rsidP="00A02DF7">
      <w:pPr>
        <w:pStyle w:val="Heading2"/>
        <w:ind w:left="1021" w:hanging="1021"/>
      </w:pPr>
      <w:r w:rsidRPr="00195242">
        <w:t>Excavation Supports</w:t>
      </w:r>
    </w:p>
    <w:p w14:paraId="498BA19B" w14:textId="77777777" w:rsidR="00BB233B" w:rsidRPr="00BB233B" w:rsidRDefault="00E657F5" w:rsidP="00BB233B">
      <w:pPr>
        <w:pStyle w:val="BodyText"/>
        <w:rPr>
          <w:lang w:eastAsia="en-GB"/>
        </w:rPr>
      </w:pPr>
      <w:r w:rsidRPr="00BB233B">
        <w:rPr>
          <w:lang w:eastAsia="en-GB"/>
        </w:rPr>
        <w:t>Excavation supports shall be carefully removed as filling proceeds except where such support is required to be left in position, but stability of the trench sides and adjacent ground must be maintained. The space left by the withdrawal of support shall be filled in the manner of the main fill.</w:t>
      </w:r>
    </w:p>
    <w:p w14:paraId="0CC38F47" w14:textId="77777777" w:rsidR="00BB233B" w:rsidRDefault="00E657F5" w:rsidP="00A02DF7">
      <w:pPr>
        <w:pStyle w:val="Heading2"/>
        <w:ind w:left="1021" w:hanging="1021"/>
      </w:pPr>
      <w:r>
        <w:t>Acceptability of fill</w:t>
      </w:r>
    </w:p>
    <w:p w14:paraId="455C53B6" w14:textId="77777777" w:rsidR="00BB233B" w:rsidRPr="00BB233B" w:rsidRDefault="00E657F5" w:rsidP="00BB233B">
      <w:pPr>
        <w:pStyle w:val="BodyText"/>
        <w:rPr>
          <w:lang w:eastAsia="en-GB"/>
        </w:rPr>
      </w:pPr>
      <w:r w:rsidRPr="00BB233B">
        <w:rPr>
          <w:lang w:eastAsia="en-GB"/>
        </w:rPr>
        <w:t>The completed fill should have a bearing capacity and stability at least equal to that of the adjacent undisturbed sub-grade.</w:t>
      </w:r>
    </w:p>
    <w:p w14:paraId="02043A73" w14:textId="77777777" w:rsidR="00BB233B" w:rsidRPr="00BB233B" w:rsidRDefault="00E657F5" w:rsidP="00BB233B">
      <w:pPr>
        <w:pStyle w:val="BodyText"/>
        <w:rPr>
          <w:lang w:eastAsia="en-GB"/>
        </w:rPr>
      </w:pPr>
      <w:r w:rsidRPr="00BB233B">
        <w:rPr>
          <w:lang w:eastAsia="en-GB"/>
        </w:rPr>
        <w:t xml:space="preserve">Where settlement, deterioration, </w:t>
      </w:r>
      <w:r w:rsidR="00AA50C0" w:rsidRPr="00BB233B">
        <w:rPr>
          <w:lang w:eastAsia="en-GB"/>
        </w:rPr>
        <w:t>inspection,</w:t>
      </w:r>
      <w:r w:rsidRPr="00BB233B">
        <w:rPr>
          <w:lang w:eastAsia="en-GB"/>
        </w:rPr>
        <w:t xml:space="preserve"> or test results indicate that the fill is not equal to the adjacent sub-grade such additional work necessary to produce a final reinstatement equal in capacity performance and condition to that which existed before disturbance shall be carried out to the satisfaction of the Engineer.</w:t>
      </w:r>
    </w:p>
    <w:p w14:paraId="7742EC45" w14:textId="77777777" w:rsidR="00BB233B" w:rsidRDefault="00E657F5" w:rsidP="00A02DF7">
      <w:pPr>
        <w:pStyle w:val="Heading2"/>
        <w:ind w:left="1021" w:hanging="1021"/>
      </w:pPr>
      <w:r>
        <w:t>Testing and cleaning of pipelines</w:t>
      </w:r>
    </w:p>
    <w:p w14:paraId="5D6F107F" w14:textId="77777777" w:rsidR="00BB233B" w:rsidRPr="00BB233B" w:rsidRDefault="00E657F5" w:rsidP="00BB233B">
      <w:pPr>
        <w:pStyle w:val="BodyText"/>
        <w:rPr>
          <w:lang w:eastAsia="en-GB"/>
        </w:rPr>
      </w:pPr>
      <w:r w:rsidRPr="00BB233B">
        <w:rPr>
          <w:lang w:eastAsia="en-GB"/>
        </w:rPr>
        <w:t>Water or air tests shall be carried out on all sealed and jointed pipelines up to 750mm diameter with apparatus, materials and labour supplied by the Developer, under the directions and in the presence of the Engineer. The drains shall be tested for the full length between manholes, or in exceptional circumstances for such lesser distance as may be approved by the Engineer.  Air tests shall only be applied with the approval of the Engineer.</w:t>
      </w:r>
    </w:p>
    <w:p w14:paraId="08D8CB9B" w14:textId="77777777" w:rsidR="00BB233B" w:rsidRPr="00BB233B" w:rsidRDefault="00E657F5" w:rsidP="00BB233B">
      <w:pPr>
        <w:pStyle w:val="BodyText"/>
        <w:rPr>
          <w:lang w:eastAsia="en-GB"/>
        </w:rPr>
      </w:pPr>
      <w:r w:rsidRPr="00BB233B">
        <w:rPr>
          <w:lang w:eastAsia="en-GB"/>
        </w:rPr>
        <w:t>Whichever form of test is used a first test shall be made on the naked pipes as laid after the jointing material has had proper time to act. A second test shall be carried out in the same length when the trench has been filled to a depth of 450mm over the collars of the pipes; after the filling has been properly compacted. In some cases where the pipes are surrounded with concrete the filling for the second test (</w:t>
      </w:r>
      <w:r w:rsidR="00AA50C0" w:rsidRPr="00BB233B">
        <w:rPr>
          <w:lang w:eastAsia="en-GB"/>
        </w:rPr>
        <w:t>i.e.,</w:t>
      </w:r>
      <w:r w:rsidRPr="00BB233B">
        <w:rPr>
          <w:lang w:eastAsia="en-GB"/>
        </w:rPr>
        <w:t xml:space="preserve"> the test after compaction) need be only 225mm.</w:t>
      </w:r>
    </w:p>
    <w:p w14:paraId="0007A944" w14:textId="77777777" w:rsidR="00BB233B" w:rsidRPr="00BB233B" w:rsidRDefault="00E657F5" w:rsidP="00BB233B">
      <w:pPr>
        <w:pStyle w:val="BodyText"/>
        <w:rPr>
          <w:lang w:eastAsia="en-GB"/>
        </w:rPr>
      </w:pPr>
      <w:r w:rsidRPr="00BB233B">
        <w:rPr>
          <w:lang w:eastAsia="en-GB"/>
        </w:rPr>
        <w:t>Notwithstanding the favourable result of these tests the Engineer may make any further tests and subsequent examination of the materials and workmanship that the Engineer considers to be necessary.</w:t>
      </w:r>
    </w:p>
    <w:p w14:paraId="40F552C5" w14:textId="77777777" w:rsidR="00BB233B" w:rsidRPr="00BB233B" w:rsidRDefault="00E657F5" w:rsidP="00BB233B">
      <w:pPr>
        <w:pStyle w:val="BodyText"/>
        <w:rPr>
          <w:lang w:eastAsia="en-GB"/>
        </w:rPr>
      </w:pPr>
      <w:r w:rsidRPr="00BB233B">
        <w:rPr>
          <w:lang w:eastAsia="en-GB"/>
        </w:rPr>
        <w:t xml:space="preserve">Storm water drains of </w:t>
      </w:r>
      <w:r w:rsidR="00853D51">
        <w:rPr>
          <w:lang w:eastAsia="en-GB"/>
        </w:rPr>
        <w:t>12</w:t>
      </w:r>
      <w:r w:rsidR="00853D51" w:rsidRPr="00BB233B">
        <w:rPr>
          <w:lang w:eastAsia="en-GB"/>
        </w:rPr>
        <w:t xml:space="preserve">00mm </w:t>
      </w:r>
      <w:r w:rsidRPr="00BB233B">
        <w:rPr>
          <w:lang w:eastAsia="en-GB"/>
        </w:rPr>
        <w:t>diameter and greater will be tested by visual inspection from the inside.</w:t>
      </w:r>
    </w:p>
    <w:p w14:paraId="1E752AD5" w14:textId="77777777" w:rsidR="00BB233B" w:rsidRPr="00BB233B" w:rsidRDefault="00E657F5" w:rsidP="00BB233B">
      <w:pPr>
        <w:pStyle w:val="BodyText"/>
        <w:rPr>
          <w:b/>
          <w:bCs/>
          <w:i/>
          <w:iCs/>
        </w:rPr>
      </w:pPr>
      <w:r w:rsidRPr="00BB233B">
        <w:rPr>
          <w:lang w:eastAsia="en-GB"/>
        </w:rPr>
        <w:t>Reasonable and proper notice must be given to the Engineer when any length requires testing.</w:t>
      </w:r>
    </w:p>
    <w:p w14:paraId="0FF8F7A3" w14:textId="77777777" w:rsidR="00BB233B" w:rsidRDefault="00E657F5" w:rsidP="00A02DF7">
      <w:pPr>
        <w:pStyle w:val="Heading2"/>
        <w:ind w:left="1021" w:hanging="1021"/>
      </w:pPr>
      <w:r>
        <w:t>Water Test</w:t>
      </w:r>
    </w:p>
    <w:p w14:paraId="5D40DBEA" w14:textId="77777777" w:rsidR="00BB233B" w:rsidRPr="00BB233B" w:rsidRDefault="00E657F5" w:rsidP="00BB233B">
      <w:pPr>
        <w:pStyle w:val="BodyText"/>
        <w:rPr>
          <w:lang w:eastAsia="en-GB"/>
        </w:rPr>
      </w:pPr>
      <w:r w:rsidRPr="00BB233B">
        <w:rPr>
          <w:lang w:eastAsia="en-GB"/>
        </w:rPr>
        <w:t>For the pipeline water test, the pipes shall be filled with water under a head of not less than 1.2m above the crown of the pipe at the high end and not more than 6m above the pipe at the low end. Steeply graded pipelines shall be tested in sections so that the above maximum shall not be exceeded.  Unless otherwise agreed by the Engineer the test shall commence two hours after filling the test section at which time the level of water at the vertical feed pipe shall be made up to produce the required 1.2m minimum test head. The loss of water over a 30-minute period shall be measured by adding water at regular 10-minute intervals to maintain the original water level and recording the amounts so added. The drain will have passed the test if the volume of water added does not exceed one litre per hour per linear metre of drain per nominal internal diameter.</w:t>
      </w:r>
    </w:p>
    <w:p w14:paraId="1C418696" w14:textId="77777777" w:rsidR="00BB233B" w:rsidRPr="00BB233B" w:rsidRDefault="00E657F5" w:rsidP="00BB233B">
      <w:pPr>
        <w:pStyle w:val="BodyText"/>
        <w:rPr>
          <w:lang w:eastAsia="en-GB"/>
        </w:rPr>
      </w:pPr>
      <w:r w:rsidRPr="00BB233B">
        <w:rPr>
          <w:lang w:eastAsia="en-GB"/>
        </w:rPr>
        <w:t>Manholes and inspection chambers shall be tested for water tightness by the inspection for infiltration and weeps shall be stopped by caulking and pointing.</w:t>
      </w:r>
    </w:p>
    <w:p w14:paraId="18D4F585" w14:textId="77777777" w:rsidR="00BB233B" w:rsidRPr="00195242" w:rsidRDefault="00E657F5" w:rsidP="00A02DF7">
      <w:pPr>
        <w:pStyle w:val="Heading2"/>
        <w:ind w:left="1021" w:hanging="1021"/>
      </w:pPr>
      <w:r>
        <w:t>Air Test</w:t>
      </w:r>
    </w:p>
    <w:p w14:paraId="3CDBBEAA" w14:textId="77777777" w:rsidR="00BB233B" w:rsidRPr="00BB233B" w:rsidRDefault="00E657F5" w:rsidP="00BB233B">
      <w:pPr>
        <w:pStyle w:val="BodyText"/>
        <w:rPr>
          <w:lang w:eastAsia="en-GB"/>
        </w:rPr>
      </w:pPr>
      <w:r w:rsidRPr="00BB233B">
        <w:rPr>
          <w:lang w:eastAsia="en-GB"/>
        </w:rPr>
        <w:t>For the pipeline air test, air shall be pumped in by suitable means until a stable pressure of 100mm head of water is indicated in a U-tube connected to the system. The air pressure shall not fall to less than 75mm head of water during a period of 5 minutes without further pumping, after an initial period to allow stabilization. Drains with traps shall be tested to 50mm head of water and the permissible loss shall then be no more than 13mm head of water in 5 minutes without further pumping after the initial stabilization period.</w:t>
      </w:r>
    </w:p>
    <w:p w14:paraId="552E674F" w14:textId="77777777" w:rsidR="00BB233B" w:rsidRPr="00BB233B" w:rsidRDefault="00E657F5" w:rsidP="00BB233B">
      <w:pPr>
        <w:pStyle w:val="BodyText"/>
        <w:rPr>
          <w:lang w:eastAsia="en-GB"/>
        </w:rPr>
      </w:pPr>
      <w:r w:rsidRPr="00BB233B">
        <w:rPr>
          <w:lang w:eastAsia="en-GB"/>
        </w:rPr>
        <w:t xml:space="preserve">The Developer shall provide, </w:t>
      </w:r>
      <w:r w:rsidR="00AA50C0" w:rsidRPr="00BB233B">
        <w:rPr>
          <w:lang w:eastAsia="en-GB"/>
        </w:rPr>
        <w:t>fix,</w:t>
      </w:r>
      <w:r w:rsidRPr="00BB233B">
        <w:rPr>
          <w:lang w:eastAsia="en-GB"/>
        </w:rPr>
        <w:t xml:space="preserve"> and work the force pump, pressure gauge and all other apparatus required, including expanding stoppers to the approval of the Engineer.</w:t>
      </w:r>
    </w:p>
    <w:p w14:paraId="703E1C96" w14:textId="77777777" w:rsidR="00BB233B" w:rsidRDefault="00E657F5" w:rsidP="00A02DF7">
      <w:pPr>
        <w:pStyle w:val="Heading2"/>
        <w:ind w:left="1021" w:hanging="1021"/>
      </w:pPr>
      <w:r>
        <w:t>Smoke Test</w:t>
      </w:r>
    </w:p>
    <w:p w14:paraId="19DB8CFF" w14:textId="77777777" w:rsidR="00BB233B" w:rsidRPr="00BB233B" w:rsidRDefault="00E657F5" w:rsidP="00BB233B">
      <w:pPr>
        <w:pStyle w:val="BodyText"/>
        <w:rPr>
          <w:lang w:eastAsia="en-GB"/>
        </w:rPr>
      </w:pPr>
      <w:r w:rsidRPr="00BB233B">
        <w:rPr>
          <w:lang w:eastAsia="en-GB"/>
        </w:rPr>
        <w:t xml:space="preserve">Sealed and jointed pipes over 900mm diameter may be tested by means of the smoke test </w:t>
      </w:r>
      <w:r w:rsidR="00EE5660" w:rsidRPr="00BB233B">
        <w:rPr>
          <w:lang w:eastAsia="en-GB"/>
        </w:rPr>
        <w:t>were</w:t>
      </w:r>
      <w:r w:rsidRPr="00BB233B">
        <w:rPr>
          <w:lang w:eastAsia="en-GB"/>
        </w:rPr>
        <w:t xml:space="preserve"> directed by the Engineer.  Both ends of the pipeline shall be sealed and smoke shall be pumped in from an approved smoke machine.  Should any joint show an escape of smoke the defects shall be made good and the pipeline re-tested.</w:t>
      </w:r>
    </w:p>
    <w:p w14:paraId="16BCD8B3" w14:textId="77777777" w:rsidR="00BB233B" w:rsidRPr="00195242" w:rsidRDefault="00E657F5" w:rsidP="00A02DF7">
      <w:pPr>
        <w:pStyle w:val="Heading2"/>
        <w:ind w:left="1021" w:hanging="1021"/>
      </w:pPr>
      <w:r>
        <w:t>Flushing on Completion</w:t>
      </w:r>
    </w:p>
    <w:p w14:paraId="65D1F822" w14:textId="77777777" w:rsidR="00BB233B" w:rsidRPr="00BB233B" w:rsidRDefault="00E657F5" w:rsidP="00BB233B">
      <w:pPr>
        <w:pStyle w:val="BodyText"/>
        <w:rPr>
          <w:lang w:eastAsia="en-GB"/>
        </w:rPr>
      </w:pPr>
      <w:r w:rsidRPr="00BB233B">
        <w:rPr>
          <w:lang w:eastAsia="en-GB"/>
        </w:rPr>
        <w:t>On completion of the works, or earlier if the Engineer agrees, all manholes and pipelines other than french drains shall be completely cleaned and flushed from end to end with water and all pipelines shall be left clean and free from obstruction.  Any jetting shall take place from a manhole in an upstream direction.  The pipe shall be plugged below the jetting point to prevent contaminants flowing to any watercourse.</w:t>
      </w:r>
    </w:p>
    <w:p w14:paraId="43291787" w14:textId="77777777" w:rsidR="00BB233B" w:rsidRDefault="00E657F5" w:rsidP="00A02DF7">
      <w:pPr>
        <w:pStyle w:val="Heading2"/>
        <w:ind w:left="1021" w:hanging="1021"/>
      </w:pPr>
      <w:r>
        <w:t>CCTV Survey</w:t>
      </w:r>
    </w:p>
    <w:p w14:paraId="1A787475" w14:textId="77777777" w:rsidR="00BB233B" w:rsidRPr="00BB233B" w:rsidRDefault="00E657F5" w:rsidP="00BB233B">
      <w:pPr>
        <w:pStyle w:val="BodyText"/>
        <w:rPr>
          <w:lang w:eastAsia="en-GB"/>
        </w:rPr>
      </w:pPr>
      <w:r w:rsidRPr="00BB233B">
        <w:rPr>
          <w:lang w:eastAsia="en-GB"/>
        </w:rPr>
        <w:t xml:space="preserve">All drains and culverts shall be surveyed by a video camera and a </w:t>
      </w:r>
      <w:r w:rsidR="00AA50C0" w:rsidRPr="00BB233B">
        <w:rPr>
          <w:lang w:eastAsia="en-GB"/>
        </w:rPr>
        <w:t>recording,</w:t>
      </w:r>
      <w:r w:rsidRPr="00BB233B">
        <w:rPr>
          <w:lang w:eastAsia="en-GB"/>
        </w:rPr>
        <w:t xml:space="preserve"> and a report shall be supplied to the Engineer.</w:t>
      </w:r>
    </w:p>
    <w:p w14:paraId="1A185AE3" w14:textId="77777777" w:rsidR="00BB233B" w:rsidRDefault="00E657F5" w:rsidP="00A02DF7">
      <w:pPr>
        <w:pStyle w:val="Heading2"/>
        <w:ind w:left="1021" w:hanging="1021"/>
      </w:pPr>
      <w:r>
        <w:t>Design Guides</w:t>
      </w:r>
    </w:p>
    <w:p w14:paraId="33637AA7" w14:textId="77777777" w:rsidR="00BB233B" w:rsidRPr="00BB233B" w:rsidRDefault="00E657F5" w:rsidP="00BB233B">
      <w:pPr>
        <w:pStyle w:val="BodyText"/>
        <w:rPr>
          <w:lang w:eastAsia="en-GB"/>
        </w:rPr>
      </w:pPr>
      <w:r w:rsidRPr="00BB233B">
        <w:rPr>
          <w:lang w:eastAsia="en-GB"/>
        </w:rPr>
        <w:t>The Developer's attention is drawn to the following publications to which reference can be made concerning the design and construction of highway drains:</w:t>
      </w:r>
    </w:p>
    <w:p w14:paraId="0A651763" w14:textId="77777777" w:rsidR="00BB233B" w:rsidRDefault="00E657F5" w:rsidP="00BB233B">
      <w:pPr>
        <w:pStyle w:val="Bullet"/>
      </w:pPr>
      <w:r w:rsidRPr="00BB233B">
        <w:t>Transport and Road Research Laboratory</w:t>
      </w:r>
      <w:r w:rsidR="00C95DD6">
        <w:t xml:space="preserve"> (TRL)</w:t>
      </w:r>
      <w:r w:rsidRPr="00BB233B">
        <w:t xml:space="preserve"> - Road Note No. 35.</w:t>
      </w:r>
    </w:p>
    <w:p w14:paraId="633EE5B6" w14:textId="77777777" w:rsidR="00BB233B" w:rsidRPr="00BB233B" w:rsidRDefault="00E657F5" w:rsidP="00BB233B">
      <w:pPr>
        <w:pStyle w:val="Bullet"/>
      </w:pPr>
      <w:r w:rsidRPr="00BB233B">
        <w:t>Design Manual for Roads and Bridges</w:t>
      </w:r>
      <w:r w:rsidR="00EE5660">
        <w:t>.</w:t>
      </w:r>
    </w:p>
    <w:p w14:paraId="7EFF7285" w14:textId="77777777" w:rsidR="00BB233B" w:rsidRPr="00BB233B" w:rsidRDefault="00E657F5" w:rsidP="00BB233B">
      <w:pPr>
        <w:pStyle w:val="Bullet"/>
      </w:pPr>
      <w:r w:rsidRPr="00BB233B">
        <w:t>Transport Research Laboratory - Simplified tables of external loads on buried pipelines</w:t>
      </w:r>
      <w:r w:rsidR="00EE5660">
        <w:t>.</w:t>
      </w:r>
    </w:p>
    <w:p w14:paraId="28D95EBD" w14:textId="77777777" w:rsidR="00BB233B" w:rsidRPr="00BB233B" w:rsidRDefault="00E657F5" w:rsidP="00BB233B">
      <w:pPr>
        <w:pStyle w:val="Bullet"/>
      </w:pPr>
      <w:r w:rsidRPr="00BB233B">
        <w:t>Transport and Road Research Laboratory - A Guide to Design Loadings for Buried Rigid Pipes</w:t>
      </w:r>
      <w:r w:rsidR="00EE5660">
        <w:t>.</w:t>
      </w:r>
    </w:p>
    <w:p w14:paraId="36144D68" w14:textId="77777777" w:rsidR="00BB233B" w:rsidRPr="00BB233B" w:rsidRDefault="00E657F5" w:rsidP="00BB233B">
      <w:pPr>
        <w:pStyle w:val="Bullet"/>
      </w:pPr>
      <w:r w:rsidRPr="00BB233B">
        <w:t>Ciria – The SuDS Manual (C753)</w:t>
      </w:r>
      <w:r w:rsidR="00EE5660">
        <w:t>.</w:t>
      </w:r>
    </w:p>
    <w:p w14:paraId="43EA52F7" w14:textId="77777777" w:rsidR="00BB233B" w:rsidRPr="00BB233B" w:rsidRDefault="00E657F5" w:rsidP="00BB233B">
      <w:pPr>
        <w:pStyle w:val="Bullet"/>
      </w:pPr>
      <w:r w:rsidRPr="00BB233B">
        <w:t>Ciria – Guidance on the construction of SuDS (C768)</w:t>
      </w:r>
      <w:r w:rsidR="00EE5660">
        <w:t>.</w:t>
      </w:r>
    </w:p>
    <w:p w14:paraId="0F7DB2D0" w14:textId="77777777" w:rsidR="00BB233B" w:rsidRPr="00BB233B" w:rsidRDefault="00E657F5" w:rsidP="00BB233B">
      <w:pPr>
        <w:pStyle w:val="Bullet"/>
      </w:pPr>
      <w:r w:rsidRPr="00BB233B">
        <w:t xml:space="preserve">Ciria – Culvert, </w:t>
      </w:r>
      <w:r w:rsidR="00AA50C0" w:rsidRPr="00BB233B">
        <w:t>screen,</w:t>
      </w:r>
      <w:r w:rsidRPr="00BB233B">
        <w:t xml:space="preserve"> and outfall manual (C768F)</w:t>
      </w:r>
      <w:r w:rsidR="00EE5660">
        <w:t>.</w:t>
      </w:r>
    </w:p>
    <w:p w14:paraId="64418A4F" w14:textId="77777777" w:rsidR="00BB233B" w:rsidRDefault="00E657F5" w:rsidP="00A02DF7">
      <w:pPr>
        <w:pStyle w:val="Heading2"/>
        <w:ind w:left="1021" w:hanging="1021"/>
      </w:pPr>
      <w:r w:rsidRPr="00855E6D">
        <w:t>Drawings and Calculations</w:t>
      </w:r>
    </w:p>
    <w:p w14:paraId="4163F41B" w14:textId="77777777" w:rsidR="00BB233B" w:rsidRPr="00BB233B" w:rsidRDefault="00E657F5" w:rsidP="00BB233B">
      <w:pPr>
        <w:pStyle w:val="BodyText"/>
        <w:rPr>
          <w:lang w:eastAsia="en-GB"/>
        </w:rPr>
      </w:pPr>
      <w:r w:rsidRPr="00BB233B">
        <w:rPr>
          <w:lang w:eastAsia="en-GB"/>
        </w:rPr>
        <w:t xml:space="preserve">The Developer shall submit to the Engineer for approval layout plans, sections, </w:t>
      </w:r>
      <w:r w:rsidR="00AA50C0" w:rsidRPr="00BB233B">
        <w:rPr>
          <w:lang w:eastAsia="en-GB"/>
        </w:rPr>
        <w:t>calculations,</w:t>
      </w:r>
      <w:r w:rsidRPr="00BB233B">
        <w:rPr>
          <w:lang w:eastAsia="en-GB"/>
        </w:rPr>
        <w:t xml:space="preserve"> and such other information as shall be reasonably required to check the validity of the Developers proposals.</w:t>
      </w:r>
    </w:p>
    <w:p w14:paraId="32988FDE" w14:textId="77777777" w:rsidR="00BB233B" w:rsidRDefault="00E657F5" w:rsidP="00A02DF7">
      <w:pPr>
        <w:pStyle w:val="Heading2"/>
        <w:ind w:left="1021" w:hanging="1021"/>
      </w:pPr>
      <w:r>
        <w:t>Hydraulic Design</w:t>
      </w:r>
    </w:p>
    <w:p w14:paraId="21D40C3F" w14:textId="77777777" w:rsidR="00BB233B" w:rsidRPr="00BB233B" w:rsidRDefault="00E657F5" w:rsidP="00BB233B">
      <w:pPr>
        <w:pStyle w:val="BodyText"/>
        <w:rPr>
          <w:lang w:eastAsia="en-GB"/>
        </w:rPr>
      </w:pPr>
      <w:r w:rsidRPr="00BB233B">
        <w:rPr>
          <w:lang w:eastAsia="en-GB"/>
        </w:rPr>
        <w:t>Highway drains shall be designed in accordance with the TRL Road Note 35 using the Design Rational (Lloyd-Davies) Method.  Unless otherwise required by the Engineer a storm frequency of once in one year shall be used together with a time of entry of 3 minutes.</w:t>
      </w:r>
    </w:p>
    <w:p w14:paraId="5EE68322" w14:textId="77777777" w:rsidR="00BB233B" w:rsidRPr="00BB233B" w:rsidRDefault="00E657F5" w:rsidP="00BB233B">
      <w:pPr>
        <w:pStyle w:val="BodyText"/>
        <w:rPr>
          <w:lang w:eastAsia="en-GB"/>
        </w:rPr>
      </w:pPr>
      <w:r w:rsidRPr="00BB233B">
        <w:rPr>
          <w:lang w:eastAsia="en-GB"/>
        </w:rPr>
        <w:t>For large developments or where the time of concentration exceeds 20 minutes the Developer should consult the Engineer for advice.</w:t>
      </w:r>
    </w:p>
    <w:p w14:paraId="4C419CAC" w14:textId="77777777" w:rsidR="00BB233B" w:rsidRPr="00BB233B" w:rsidRDefault="00E657F5" w:rsidP="00BB233B">
      <w:pPr>
        <w:pStyle w:val="BodyText"/>
        <w:rPr>
          <w:lang w:eastAsia="en-GB"/>
        </w:rPr>
      </w:pPr>
      <w:r w:rsidRPr="00BB233B">
        <w:rPr>
          <w:lang w:eastAsia="en-GB"/>
        </w:rPr>
        <w:t xml:space="preserve">The carrying capacities and flow velocities shall be determined from Hydraulic Research Paper No.4; Tables for the Design of Storm Drains, </w:t>
      </w:r>
      <w:r w:rsidR="00AA50C0" w:rsidRPr="00BB233B">
        <w:rPr>
          <w:lang w:eastAsia="en-GB"/>
        </w:rPr>
        <w:t>Sewers,</w:t>
      </w:r>
      <w:r w:rsidRPr="00BB233B">
        <w:rPr>
          <w:lang w:eastAsia="en-GB"/>
        </w:rPr>
        <w:t xml:space="preserve"> and Pipelines, using a roughness value (Ks) of 0.6mm.</w:t>
      </w:r>
    </w:p>
    <w:p w14:paraId="0C244CDA" w14:textId="77777777" w:rsidR="00BB233B" w:rsidRPr="00BB233B" w:rsidRDefault="00E657F5" w:rsidP="00BB233B">
      <w:pPr>
        <w:pStyle w:val="BodyText"/>
        <w:rPr>
          <w:lang w:eastAsia="en-GB"/>
        </w:rPr>
      </w:pPr>
      <w:r w:rsidRPr="00BB233B">
        <w:rPr>
          <w:lang w:eastAsia="en-GB"/>
        </w:rPr>
        <w:t>All highway drains shall be designed with a minimum full bore flow velocity of 1.0 metres/second.</w:t>
      </w:r>
    </w:p>
    <w:p w14:paraId="67A4FCEB" w14:textId="77777777" w:rsidR="00BB233B" w:rsidRPr="00BB233B" w:rsidRDefault="00E657F5" w:rsidP="00BB233B">
      <w:pPr>
        <w:pStyle w:val="BodyText"/>
        <w:rPr>
          <w:lang w:eastAsia="en-GB"/>
        </w:rPr>
      </w:pPr>
      <w:r w:rsidRPr="00BB233B">
        <w:rPr>
          <w:lang w:eastAsia="en-GB"/>
        </w:rPr>
        <w:t>Highway drains should normally be laid soffits level at manhole intersections.</w:t>
      </w:r>
    </w:p>
    <w:p w14:paraId="3F87A647" w14:textId="77777777" w:rsidR="002A6DB9" w:rsidRPr="00CB64A4" w:rsidRDefault="002A6DB9" w:rsidP="00CB64A4">
      <w:pPr>
        <w:pStyle w:val="BodyText"/>
        <w:rPr>
          <w:lang w:eastAsia="en-GB"/>
        </w:rPr>
      </w:pPr>
    </w:p>
    <w:p w14:paraId="5202C2A4" w14:textId="77777777" w:rsidR="00292BFA" w:rsidRDefault="00E657F5" w:rsidP="00A02DF7">
      <w:pPr>
        <w:pStyle w:val="Heading2"/>
        <w:ind w:left="1021" w:hanging="1021"/>
      </w:pPr>
      <w:r>
        <w:rPr>
          <w:b w:val="0"/>
          <w:bCs w:val="0"/>
          <w:i/>
          <w:iCs/>
          <w:sz w:val="24"/>
          <w:szCs w:val="24"/>
        </w:rPr>
        <w:br w:type="page"/>
      </w:r>
      <w:r>
        <w:t>Private connections to drainage systems intended for adoption by the Highway Authority</w:t>
      </w:r>
    </w:p>
    <w:p w14:paraId="4EF1E70B" w14:textId="77777777" w:rsidR="00292BFA" w:rsidRPr="00CB64A4" w:rsidRDefault="00E657F5" w:rsidP="00CB64A4">
      <w:pPr>
        <w:pStyle w:val="BodyText"/>
        <w:rPr>
          <w:lang w:eastAsia="en-GB"/>
        </w:rPr>
      </w:pPr>
      <w:r w:rsidRPr="00CB64A4">
        <w:rPr>
          <w:lang w:eastAsia="en-GB"/>
        </w:rPr>
        <w:t>In line with County Council's Code of Practice for Highway Status and adoptions:</w:t>
      </w:r>
    </w:p>
    <w:p w14:paraId="31396631" w14:textId="77777777" w:rsidR="00292BFA" w:rsidRPr="00CB64A4" w:rsidRDefault="00E657F5" w:rsidP="00CB64A4">
      <w:pPr>
        <w:pStyle w:val="BodyText"/>
        <w:rPr>
          <w:i/>
          <w:iCs/>
          <w:lang w:eastAsia="en-GB"/>
        </w:rPr>
      </w:pPr>
      <w:r w:rsidRPr="00CB64A4">
        <w:rPr>
          <w:i/>
          <w:iCs/>
          <w:lang w:eastAsia="en-GB"/>
        </w:rPr>
        <w:t xml:space="preserve">The County Council will normally be responsible only for those drains carrying surface water from the areas that are to be adopted. Gullies collecting water from private areas (roofs, drives, car parks etc.) should be drained to a surface water sewer (vested in </w:t>
      </w:r>
      <w:r w:rsidR="00EE5660">
        <w:rPr>
          <w:i/>
          <w:iCs/>
          <w:lang w:eastAsia="en-GB"/>
        </w:rPr>
        <w:t>the Water / Utility company</w:t>
      </w:r>
      <w:r w:rsidRPr="00CB64A4">
        <w:rPr>
          <w:i/>
          <w:iCs/>
          <w:lang w:eastAsia="en-GB"/>
        </w:rPr>
        <w:t>) or to a separate private drainage system situated in land outside the highway. Only in exceptional circumstances will water from private areas be permitted to drain into a highway drain. This will require the express consent of the County Council.</w:t>
      </w:r>
    </w:p>
    <w:p w14:paraId="02122D70" w14:textId="77777777" w:rsidR="00292BFA" w:rsidRPr="00CB64A4" w:rsidRDefault="00E657F5" w:rsidP="00CB64A4">
      <w:pPr>
        <w:pStyle w:val="BodyText"/>
        <w:rPr>
          <w:lang w:eastAsia="en-GB"/>
        </w:rPr>
      </w:pPr>
      <w:r>
        <w:rPr>
          <w:lang w:eastAsia="en-GB"/>
        </w:rPr>
        <w:t xml:space="preserve">Without such consent </w:t>
      </w:r>
      <w:r w:rsidR="008B70A5">
        <w:rPr>
          <w:lang w:eastAsia="en-GB"/>
        </w:rPr>
        <w:t>t</w:t>
      </w:r>
      <w:r w:rsidR="00014C12" w:rsidRPr="00CB64A4">
        <w:rPr>
          <w:lang w:eastAsia="en-GB"/>
        </w:rPr>
        <w:t>he Highway Authority will not accept private water into drainage systems under its adoption, any such drainage system proposed for adopted that includes private water will not be accepted.</w:t>
      </w:r>
    </w:p>
    <w:p w14:paraId="0E65C7AE" w14:textId="77777777" w:rsidR="00292BFA" w:rsidRPr="00CB64A4" w:rsidRDefault="00E657F5" w:rsidP="00CB64A4">
      <w:pPr>
        <w:pStyle w:val="BodyText"/>
        <w:rPr>
          <w:lang w:eastAsia="en-GB"/>
        </w:rPr>
      </w:pPr>
      <w:r w:rsidRPr="00CB64A4">
        <w:rPr>
          <w:lang w:eastAsia="en-GB"/>
        </w:rPr>
        <w:t xml:space="preserve">It is considered that any such 'exceptional circumstances' should not occur in the design of Estates and other developments as there is sufficient opportunity in the planning of new developments to design them out. In addition, the Water Authority have a legal obligation to supply a sewerage connection when requested, as set out in Section 98 of the Water Industry Act 1991, and they also have the powers to maintain and adjust their apparatus in the highway in connection with their legal responsibilities as a utility company. The Highway Authority is not a statutory sewerage undertaker and has no legal powers (or duty) to accept third party surface water, whether by means of a pre-existing situation, new connection or on a temporary basis. </w:t>
      </w:r>
    </w:p>
    <w:p w14:paraId="71AA1535" w14:textId="77777777" w:rsidR="001B7EFB" w:rsidRPr="00676E25" w:rsidRDefault="00E657F5" w:rsidP="005C4325">
      <w:pPr>
        <w:pStyle w:val="Heading1"/>
      </w:pPr>
      <w:bookmarkStart w:id="51" w:name="_Toc123738093"/>
      <w:r>
        <w:t>Earthworks</w:t>
      </w:r>
      <w:bookmarkEnd w:id="51"/>
    </w:p>
    <w:p w14:paraId="24FC8F89" w14:textId="77777777" w:rsidR="001B7EFB" w:rsidRDefault="00E657F5" w:rsidP="005C4325">
      <w:pPr>
        <w:pStyle w:val="Heading2"/>
      </w:pPr>
      <w:r>
        <w:t>Bulk Excavation and Filling</w:t>
      </w:r>
    </w:p>
    <w:p w14:paraId="081B4939" w14:textId="77777777" w:rsidR="001B7EFB" w:rsidRPr="00676E25" w:rsidRDefault="00E657F5" w:rsidP="001B7EFB">
      <w:pPr>
        <w:pStyle w:val="BodyText"/>
      </w:pPr>
      <w:r w:rsidRPr="00676E25">
        <w:t xml:space="preserve">Excavation and filling shall be carried out in accordance with the drawings approved by the </w:t>
      </w:r>
      <w:r w:rsidR="00041A2E">
        <w:t>E</w:t>
      </w:r>
      <w:r w:rsidR="00041A2E" w:rsidRPr="00676E25">
        <w:t>ngineer</w:t>
      </w:r>
      <w:r w:rsidRPr="00676E25">
        <w:t>.</w:t>
      </w:r>
    </w:p>
    <w:p w14:paraId="19D4CA01" w14:textId="77777777" w:rsidR="001B7EFB" w:rsidRDefault="00E657F5" w:rsidP="005C4325">
      <w:pPr>
        <w:pStyle w:val="Heading2"/>
      </w:pPr>
      <w:r>
        <w:t>Turf and Topsoil</w:t>
      </w:r>
    </w:p>
    <w:p w14:paraId="135647FB" w14:textId="77777777" w:rsidR="001B7EFB" w:rsidRPr="00676E25" w:rsidRDefault="00E657F5" w:rsidP="001B7EFB">
      <w:pPr>
        <w:pStyle w:val="BodyText"/>
      </w:pPr>
      <w:r w:rsidRPr="00676E25">
        <w:t>All turf and topsoil over the whole width of the carriageway and footways or from the underside of any proposed embankments shall be removed.</w:t>
      </w:r>
    </w:p>
    <w:p w14:paraId="701423D3" w14:textId="77777777" w:rsidR="001B7EFB" w:rsidRDefault="00E657F5" w:rsidP="005C4325">
      <w:pPr>
        <w:pStyle w:val="Heading2"/>
      </w:pPr>
      <w:r>
        <w:t>Unsuitable material</w:t>
      </w:r>
    </w:p>
    <w:p w14:paraId="4FAF45F8" w14:textId="77777777" w:rsidR="001B7EFB" w:rsidRPr="00676E25" w:rsidRDefault="00E657F5" w:rsidP="001B7EFB">
      <w:pPr>
        <w:pStyle w:val="BodyText"/>
      </w:pPr>
      <w:r w:rsidRPr="00676E25">
        <w:t>The following materials are unsuitable for highway works and shall be disposed of clear of the site:</w:t>
      </w:r>
    </w:p>
    <w:p w14:paraId="121C1FBA" w14:textId="77777777" w:rsidR="001B7EFB" w:rsidRDefault="00E657F5" w:rsidP="001B7EFB">
      <w:pPr>
        <w:pStyle w:val="Bullet"/>
        <w:ind w:left="720"/>
      </w:pPr>
      <w:r>
        <w:t xml:space="preserve">Peat, material from swamps, </w:t>
      </w:r>
      <w:r w:rsidR="00AA50C0">
        <w:t>marshes,</w:t>
      </w:r>
      <w:r>
        <w:t xml:space="preserve"> and </w:t>
      </w:r>
      <w:r w:rsidR="00AA50C0">
        <w:t>bogs.</w:t>
      </w:r>
    </w:p>
    <w:p w14:paraId="5BF9D3DF" w14:textId="77777777" w:rsidR="001B7EFB" w:rsidRDefault="00E657F5" w:rsidP="001B7EFB">
      <w:pPr>
        <w:pStyle w:val="Bullet"/>
        <w:ind w:left="720"/>
      </w:pPr>
      <w:r>
        <w:t xml:space="preserve">Logs, </w:t>
      </w:r>
      <w:r w:rsidR="00AA50C0">
        <w:t>stumps,</w:t>
      </w:r>
      <w:r>
        <w:t xml:space="preserve"> and perishable material,</w:t>
      </w:r>
    </w:p>
    <w:p w14:paraId="1A41FFC9" w14:textId="77777777" w:rsidR="001B7EFB" w:rsidRDefault="00E657F5" w:rsidP="001B7EFB">
      <w:pPr>
        <w:pStyle w:val="Bullet"/>
        <w:ind w:left="720"/>
      </w:pPr>
      <w:r>
        <w:t>Materials in a frozen condition,</w:t>
      </w:r>
    </w:p>
    <w:p w14:paraId="70FE7977" w14:textId="77777777" w:rsidR="001B7EFB" w:rsidRDefault="00E657F5" w:rsidP="001B7EFB">
      <w:pPr>
        <w:pStyle w:val="Bullet"/>
        <w:ind w:left="720"/>
      </w:pPr>
      <w:r>
        <w:t>Wet clay and silt,</w:t>
      </w:r>
    </w:p>
    <w:p w14:paraId="6D86B3F4" w14:textId="77777777" w:rsidR="001B7EFB" w:rsidRDefault="00E657F5" w:rsidP="001B7EFB">
      <w:pPr>
        <w:pStyle w:val="Bullet"/>
        <w:ind w:left="720"/>
      </w:pPr>
      <w:r>
        <w:t>Chemical and industrial organic waste,</w:t>
      </w:r>
    </w:p>
    <w:p w14:paraId="63B27CDE" w14:textId="77777777" w:rsidR="001B7EFB" w:rsidRDefault="00E657F5" w:rsidP="001B7EFB">
      <w:pPr>
        <w:pStyle w:val="Bullet"/>
        <w:ind w:left="720"/>
      </w:pPr>
      <w:r>
        <w:t>Materials susceptible to spontaneous combustion,</w:t>
      </w:r>
    </w:p>
    <w:p w14:paraId="516D39C6" w14:textId="77777777" w:rsidR="001B7EFB" w:rsidRDefault="00E657F5" w:rsidP="001B7EFB">
      <w:pPr>
        <w:pStyle w:val="Bullet"/>
        <w:ind w:left="720"/>
      </w:pPr>
      <w:r>
        <w:t>Any material not acceptable to the Engineer for incorporation in the highway works</w:t>
      </w:r>
      <w:r w:rsidR="00EE1891">
        <w:t>.</w:t>
      </w:r>
    </w:p>
    <w:p w14:paraId="664E34B3" w14:textId="77777777" w:rsidR="001B7EFB" w:rsidRPr="00676E25" w:rsidRDefault="00E657F5" w:rsidP="001B7EFB">
      <w:pPr>
        <w:pStyle w:val="BodyText"/>
      </w:pPr>
      <w:r w:rsidRPr="00676E25">
        <w:t xml:space="preserve">For clarification of material classification, the contractor shall follow the Notes for Guidance </w:t>
      </w:r>
      <w:r w:rsidR="00C95DD6">
        <w:t>of the MCHW</w:t>
      </w:r>
      <w:r w:rsidRPr="00676E25">
        <w:t xml:space="preserve"> NG601, which outlines the accepted classification procedure for disposal of materials off site.</w:t>
      </w:r>
    </w:p>
    <w:p w14:paraId="614893B6" w14:textId="77777777" w:rsidR="001B7EFB" w:rsidRDefault="00E657F5" w:rsidP="005C4325">
      <w:pPr>
        <w:pStyle w:val="Heading2"/>
      </w:pPr>
      <w:r>
        <w:t>Filling material</w:t>
      </w:r>
    </w:p>
    <w:p w14:paraId="3857A168" w14:textId="77777777" w:rsidR="001B7EFB" w:rsidRPr="00676E25" w:rsidRDefault="00E657F5" w:rsidP="001B7EFB">
      <w:pPr>
        <w:pStyle w:val="BodyText"/>
      </w:pPr>
      <w:r w:rsidRPr="00676E25">
        <w:t>Material intended for filling shall be kept separate from other materials and shall be protected from damage by contamination, weathering or an increase or decrease in moisture content.</w:t>
      </w:r>
    </w:p>
    <w:p w14:paraId="14D7E907" w14:textId="77777777" w:rsidR="001B7EFB" w:rsidRPr="00676E25" w:rsidRDefault="00E657F5" w:rsidP="001B7EFB">
      <w:pPr>
        <w:pStyle w:val="BodyText"/>
      </w:pPr>
      <w:r w:rsidRPr="00676E25">
        <w:t>Filling materials shall be:</w:t>
      </w:r>
    </w:p>
    <w:p w14:paraId="3A1367A4" w14:textId="77777777" w:rsidR="001B7EFB" w:rsidRDefault="00E657F5" w:rsidP="001B7EFB">
      <w:pPr>
        <w:pStyle w:val="Bullet"/>
        <w:ind w:left="720"/>
      </w:pPr>
      <w:r>
        <w:t>Suitable excavated material being sub-soil materials accepted by the Engineer for use as fill,</w:t>
      </w:r>
    </w:p>
    <w:p w14:paraId="157BDDF7" w14:textId="77777777" w:rsidR="001B7EFB" w:rsidRDefault="00E657F5" w:rsidP="001B7EFB">
      <w:pPr>
        <w:pStyle w:val="Bullet"/>
        <w:ind w:left="720"/>
      </w:pPr>
      <w:r>
        <w:t>Granular filling material being well graded broken rock or weathered upper rock, overburden, sand gravel or broken hardcore approved by the Engineer. The largest pieces of filling material shall have a maximum dimension less than 125mm.</w:t>
      </w:r>
    </w:p>
    <w:p w14:paraId="4BFF08F9" w14:textId="77777777" w:rsidR="001B7EFB" w:rsidRDefault="00E657F5" w:rsidP="001B7EFB">
      <w:pPr>
        <w:pStyle w:val="Bullet"/>
        <w:ind w:left="720"/>
      </w:pPr>
      <w:r>
        <w:t>Rock fill material, being quarried from a source approved by the Engineer, 125mm maximum size,</w:t>
      </w:r>
    </w:p>
    <w:p w14:paraId="120813CC" w14:textId="77777777" w:rsidR="001B7EFB" w:rsidRDefault="00E657F5" w:rsidP="001B7EFB">
      <w:pPr>
        <w:pStyle w:val="Bullet"/>
        <w:ind w:left="720"/>
      </w:pPr>
      <w:r>
        <w:t xml:space="preserve">Hardcore. All hardcore shall be clean, angular in shape, free from dust, refuse or organic matter, and shall be of a size no greater than 125mm and shall consist </w:t>
      </w:r>
      <w:r w:rsidR="00EE1891">
        <w:t xml:space="preserve">of </w:t>
      </w:r>
      <w:r>
        <w:t xml:space="preserve">broken stone or bricks from an approved source. In the event of demolition material being used for hardcore the material shall be selected and free from lime, plaster, </w:t>
      </w:r>
      <w:r w:rsidR="00AA50C0">
        <w:t>timber,</w:t>
      </w:r>
      <w:r>
        <w:t xml:space="preserve"> or other rubbish, and should be approved by the Engineer before use.</w:t>
      </w:r>
    </w:p>
    <w:p w14:paraId="5AEC3CB2" w14:textId="77777777" w:rsidR="001B7EFB" w:rsidRPr="00676E25" w:rsidRDefault="00E657F5" w:rsidP="001B7EFB">
      <w:pPr>
        <w:pStyle w:val="Bullet"/>
        <w:ind w:left="720"/>
      </w:pPr>
      <w:r>
        <w:t xml:space="preserve">Subgrade improvement (capping) layer material shall be approved crushed rock, broken brick, broken </w:t>
      </w:r>
      <w:r w:rsidR="00AA50C0">
        <w:t>concrete,</w:t>
      </w:r>
      <w:r>
        <w:t xml:space="preserve"> or gravel. It shall be well graded from 125mm down to 63</w:t>
      </w:r>
      <w:r w:rsidRPr="00676E25">
        <w:t>µ</w:t>
      </w:r>
      <w:r>
        <w:t>m sieve.</w:t>
      </w:r>
    </w:p>
    <w:p w14:paraId="33E14C5C" w14:textId="77777777" w:rsidR="001B7EFB" w:rsidRDefault="00E657F5" w:rsidP="005C4325">
      <w:pPr>
        <w:pStyle w:val="Heading2"/>
      </w:pPr>
      <w:r w:rsidRPr="003661B9">
        <w:t>Treatment of unsound ground – Rockfill/Hardcore</w:t>
      </w:r>
    </w:p>
    <w:p w14:paraId="653B3B23" w14:textId="77777777" w:rsidR="001B7EFB" w:rsidRPr="00676E25" w:rsidRDefault="00E657F5" w:rsidP="001B7EFB">
      <w:pPr>
        <w:pStyle w:val="BodyText"/>
      </w:pPr>
      <w:r w:rsidRPr="00676E25">
        <w:t>With the agreement of the Engineer rockfill/hardcore shall be placed:</w:t>
      </w:r>
    </w:p>
    <w:p w14:paraId="2C58A620" w14:textId="77777777" w:rsidR="001B7EFB" w:rsidRDefault="00E657F5" w:rsidP="001B7EFB">
      <w:pPr>
        <w:pStyle w:val="Bullet"/>
        <w:ind w:left="720"/>
      </w:pPr>
      <w:r>
        <w:t>Where the naturally occurring material beneath highway works is unsuitable as a subgrade,</w:t>
      </w:r>
    </w:p>
    <w:p w14:paraId="5FE9EF7E" w14:textId="77777777" w:rsidR="001B7EFB" w:rsidRDefault="00E657F5" w:rsidP="001B7EFB">
      <w:pPr>
        <w:pStyle w:val="Bullet"/>
        <w:ind w:left="720"/>
      </w:pPr>
      <w:r>
        <w:t>Where unsuitable material has been excavated and disposed of leaving a local depression in ground which may be unsound,</w:t>
      </w:r>
    </w:p>
    <w:p w14:paraId="2C9594C2" w14:textId="77777777" w:rsidR="001B7EFB" w:rsidRDefault="00E657F5" w:rsidP="001B7EFB">
      <w:pPr>
        <w:pStyle w:val="Bullet"/>
        <w:ind w:left="720"/>
      </w:pPr>
      <w:r>
        <w:t>Where it is necessary to fill waterlogged or unsound ground.</w:t>
      </w:r>
    </w:p>
    <w:p w14:paraId="0178A41B" w14:textId="77777777" w:rsidR="001B7EFB" w:rsidRPr="00676E25" w:rsidRDefault="00E657F5" w:rsidP="001B7EFB">
      <w:pPr>
        <w:pStyle w:val="BodyText"/>
      </w:pPr>
      <w:r w:rsidRPr="00676E25">
        <w:t xml:space="preserve">Rockfill/hardcore shall be spread in layers not exceeding 400mm thick each adequately compacted until stabilisation is accomplished. </w:t>
      </w:r>
    </w:p>
    <w:p w14:paraId="0C3C5A2E" w14:textId="77777777" w:rsidR="001B7EFB" w:rsidRPr="00676E25" w:rsidRDefault="00E657F5" w:rsidP="001B7EFB">
      <w:pPr>
        <w:pStyle w:val="BodyText"/>
      </w:pPr>
      <w:r w:rsidRPr="00676E25">
        <w:t xml:space="preserve">Where in the opinion of the Engineer, further excavation will result in extension of the soft area, the use of a non-woven geotextile membrane of a type approved by the Engineer, laid on the sub-grade material at formation level may be required. </w:t>
      </w:r>
    </w:p>
    <w:p w14:paraId="025C5D4C" w14:textId="77777777" w:rsidR="001B7EFB" w:rsidRDefault="00E657F5" w:rsidP="005C4325">
      <w:pPr>
        <w:pStyle w:val="Heading2"/>
      </w:pPr>
      <w:r>
        <w:t>Sub-soil drainage</w:t>
      </w:r>
    </w:p>
    <w:p w14:paraId="2C73EFA2" w14:textId="77777777" w:rsidR="001B7EFB" w:rsidRPr="00676E25" w:rsidRDefault="00E657F5" w:rsidP="001B7EFB">
      <w:pPr>
        <w:pStyle w:val="BodyText"/>
      </w:pPr>
      <w:r w:rsidRPr="00676E25">
        <w:t>Where the winter height of the water table is within 600mm of formation level.</w:t>
      </w:r>
    </w:p>
    <w:p w14:paraId="76BCF2D4" w14:textId="77777777" w:rsidR="001B7EFB" w:rsidRDefault="00E657F5" w:rsidP="001B7EFB">
      <w:pPr>
        <w:pStyle w:val="Bullet"/>
        <w:ind w:left="720"/>
      </w:pPr>
      <w:r>
        <w:t>Or where the sub-soil is unstable because of being waterlogged.</w:t>
      </w:r>
    </w:p>
    <w:p w14:paraId="49BCA776" w14:textId="77777777" w:rsidR="001B7EFB" w:rsidRDefault="00E657F5" w:rsidP="001B7EFB">
      <w:pPr>
        <w:pStyle w:val="Bullet"/>
        <w:ind w:left="720"/>
      </w:pPr>
      <w:r>
        <w:t>Or where there is likelihood of water running off or out of adjacent ground.</w:t>
      </w:r>
    </w:p>
    <w:p w14:paraId="65714670" w14:textId="77777777" w:rsidR="001B7EFB" w:rsidRDefault="00E657F5" w:rsidP="001B7EFB">
      <w:pPr>
        <w:pStyle w:val="Bullet"/>
        <w:ind w:left="720"/>
      </w:pPr>
      <w:r>
        <w:t>Or where springs, drains or watercourses are encountered.</w:t>
      </w:r>
    </w:p>
    <w:p w14:paraId="45A81818" w14:textId="77777777" w:rsidR="00B46121" w:rsidRDefault="00E657F5" w:rsidP="001B7EFB">
      <w:pPr>
        <w:pStyle w:val="Bullet"/>
        <w:ind w:left="720"/>
      </w:pPr>
      <w:r>
        <w:t xml:space="preserve">Or where the </w:t>
      </w:r>
      <w:r w:rsidR="00DF19BD">
        <w:t>highway</w:t>
      </w:r>
      <w:r>
        <w:t xml:space="preserve"> is in cutting</w:t>
      </w:r>
    </w:p>
    <w:p w14:paraId="5CB12FA7" w14:textId="77777777" w:rsidR="001B7EFB" w:rsidRPr="00676E25" w:rsidRDefault="00E657F5" w:rsidP="001B7EFB">
      <w:pPr>
        <w:pStyle w:val="BodyText"/>
      </w:pPr>
      <w:r>
        <w:t>Then a proper system of sub-soil drainage via catchpits to the surface water system or to a suitable outfall shall be constructed to the satisfaction of the Engineer.</w:t>
      </w:r>
    </w:p>
    <w:p w14:paraId="147DF8D4" w14:textId="77777777" w:rsidR="001B7EFB" w:rsidRDefault="00E657F5" w:rsidP="005C4325">
      <w:pPr>
        <w:pStyle w:val="Heading2"/>
      </w:pPr>
      <w:r>
        <w:t>Fill</w:t>
      </w:r>
    </w:p>
    <w:p w14:paraId="3FBFAAB7" w14:textId="77777777" w:rsidR="001B7EFB" w:rsidRPr="00676E25" w:rsidRDefault="00E657F5" w:rsidP="001B7EFB">
      <w:pPr>
        <w:pStyle w:val="BodyText"/>
      </w:pPr>
      <w:r w:rsidRPr="00676E25">
        <w:t>Fill shall be suitable excavated material or granular filling material</w:t>
      </w:r>
      <w:r>
        <w:t xml:space="preserve"> as described in </w:t>
      </w:r>
      <w:r w:rsidR="007330BE">
        <w:t>C</w:t>
      </w:r>
      <w:r>
        <w:t xml:space="preserve">lause </w:t>
      </w:r>
      <w:r w:rsidR="00782291">
        <w:t>4.4.</w:t>
      </w:r>
    </w:p>
    <w:p w14:paraId="3705162F" w14:textId="77777777" w:rsidR="001B7EFB" w:rsidRPr="00676E25" w:rsidRDefault="00E657F5" w:rsidP="001B7EFB">
      <w:pPr>
        <w:pStyle w:val="BodyText"/>
      </w:pPr>
      <w:r w:rsidRPr="00676E25">
        <w:t>Fill shall be spread and compacted in layers not greater than 225mm thick after compaction with a minimum of 8 complete passes by a smooth-wheel roller weighing at least 8 tonnes or a vibratory roller of at least 3 tonnes mass.</w:t>
      </w:r>
    </w:p>
    <w:p w14:paraId="5930CB89" w14:textId="77777777" w:rsidR="001B7EFB" w:rsidRDefault="00E657F5" w:rsidP="001B7EFB">
      <w:pPr>
        <w:pStyle w:val="BodyText"/>
      </w:pPr>
      <w:r w:rsidRPr="00676E25">
        <w:t>Embankments shall be built up evenly over the full width and the surface shall be given a camber or fall so that surface water does not collect. Site traffic shall be directed over the whole of the surface of the embankment so that no area is overstressed.</w:t>
      </w:r>
    </w:p>
    <w:p w14:paraId="3FFD2508" w14:textId="77777777" w:rsidR="00073FB1" w:rsidRPr="00676E25" w:rsidRDefault="00E657F5" w:rsidP="001B7EFB">
      <w:pPr>
        <w:pStyle w:val="BodyText"/>
      </w:pPr>
      <w:r>
        <w:t>Suitable</w:t>
      </w:r>
      <w:r w:rsidR="00A25308">
        <w:t xml:space="preserve"> ground water</w:t>
      </w:r>
      <w:r>
        <w:t xml:space="preserve"> drainage shall be provided at the toe of any embankment and must </w:t>
      </w:r>
      <w:r w:rsidR="00EC55A0">
        <w:t xml:space="preserve">accepted </w:t>
      </w:r>
      <w:r w:rsidR="00A25308">
        <w:t>by the Engineer.</w:t>
      </w:r>
    </w:p>
    <w:p w14:paraId="6D826AB6" w14:textId="77777777" w:rsidR="001B7EFB" w:rsidRPr="00676E25" w:rsidRDefault="00E657F5" w:rsidP="001B7EFB">
      <w:pPr>
        <w:pStyle w:val="BodyText"/>
      </w:pPr>
      <w:r w:rsidRPr="00676E25">
        <w:t>Any fill which deteriorates during construction shall be removed.</w:t>
      </w:r>
    </w:p>
    <w:p w14:paraId="3F44BAE8" w14:textId="77777777" w:rsidR="001B7EFB" w:rsidRDefault="00E657F5" w:rsidP="005C4325">
      <w:pPr>
        <w:pStyle w:val="Heading2"/>
      </w:pPr>
      <w:r>
        <w:t>Sub-formation</w:t>
      </w:r>
    </w:p>
    <w:p w14:paraId="4AC33A9C" w14:textId="77777777" w:rsidR="00AC4F3F" w:rsidRPr="00AC4F3F" w:rsidRDefault="00E657F5" w:rsidP="00AC4F3F">
      <w:pPr>
        <w:pStyle w:val="BodyText"/>
        <w:rPr>
          <w:lang w:eastAsia="en-GB"/>
        </w:rPr>
      </w:pPr>
      <w:r w:rsidRPr="00676E25">
        <w:t>Where a sub-grade improvement (capping) layer is to be used, the surface of the embankment, preparation fill of the bottom of the excavation taken out below formation in cutting shall be trimmed to a tolerance of +20mm and -30mm immediately before the material is placed.</w:t>
      </w:r>
    </w:p>
    <w:p w14:paraId="3EAC54D4" w14:textId="77777777" w:rsidR="005154CB" w:rsidRPr="00067A19" w:rsidRDefault="00E657F5" w:rsidP="00067A19">
      <w:pPr>
        <w:pStyle w:val="Heading1"/>
      </w:pPr>
      <w:bookmarkStart w:id="52" w:name="_Toc123738094"/>
      <w:r>
        <w:t>Road Pavements</w:t>
      </w:r>
      <w:bookmarkEnd w:id="52"/>
      <w:r>
        <w:t xml:space="preserve"> </w:t>
      </w:r>
    </w:p>
    <w:p w14:paraId="743F20E7" w14:textId="77777777" w:rsidR="00363323" w:rsidRDefault="00E657F5" w:rsidP="00676E25">
      <w:pPr>
        <w:pStyle w:val="Heading2"/>
      </w:pPr>
      <w:r>
        <w:t>General</w:t>
      </w:r>
    </w:p>
    <w:p w14:paraId="34DE4098" w14:textId="77777777" w:rsidR="00363323" w:rsidRPr="00363323" w:rsidRDefault="00E657F5" w:rsidP="00363323">
      <w:pPr>
        <w:pStyle w:val="BodyText"/>
        <w:rPr>
          <w:lang w:eastAsia="en-GB"/>
        </w:rPr>
      </w:pPr>
      <w:r>
        <w:rPr>
          <w:lang w:eastAsia="en-GB"/>
        </w:rPr>
        <w:t>Carriageways</w:t>
      </w:r>
      <w:r w:rsidR="00014C12" w:rsidRPr="00363323">
        <w:rPr>
          <w:lang w:eastAsia="en-GB"/>
        </w:rPr>
        <w:t xml:space="preserve"> are generally constructed with bitumen bound, hydraulically bound, hydraulically and bitumen bound and block paving materials. Options for construction with each of these materials and combinations of are provided in this specification. </w:t>
      </w:r>
    </w:p>
    <w:p w14:paraId="4D60D8AA" w14:textId="77777777" w:rsidR="00363323" w:rsidRPr="00363323" w:rsidRDefault="00E657F5" w:rsidP="00363323">
      <w:pPr>
        <w:pStyle w:val="BodyText"/>
        <w:rPr>
          <w:lang w:eastAsia="en-GB"/>
        </w:rPr>
      </w:pPr>
      <w:r w:rsidRPr="00363323">
        <w:rPr>
          <w:lang w:eastAsia="en-GB"/>
        </w:rPr>
        <w:t xml:space="preserve">Footways and </w:t>
      </w:r>
      <w:r w:rsidR="00F827A6" w:rsidRPr="00363323">
        <w:rPr>
          <w:lang w:eastAsia="en-GB"/>
        </w:rPr>
        <w:t>cycle</w:t>
      </w:r>
      <w:r w:rsidR="00F827A6">
        <w:rPr>
          <w:lang w:eastAsia="en-GB"/>
        </w:rPr>
        <w:t>tracks</w:t>
      </w:r>
      <w:r w:rsidR="0062583D">
        <w:rPr>
          <w:lang w:eastAsia="en-GB"/>
        </w:rPr>
        <w:t xml:space="preserve"> within vehicular hi</w:t>
      </w:r>
      <w:r w:rsidR="00F95C39">
        <w:rPr>
          <w:lang w:eastAsia="en-GB"/>
        </w:rPr>
        <w:t xml:space="preserve">ghway width </w:t>
      </w:r>
      <w:r w:rsidR="001424C5">
        <w:rPr>
          <w:lang w:eastAsia="en-GB"/>
        </w:rPr>
        <w:t>ar</w:t>
      </w:r>
      <w:r w:rsidRPr="00363323">
        <w:rPr>
          <w:lang w:eastAsia="en-GB"/>
        </w:rPr>
        <w:t xml:space="preserve">e generally constructed with bitumen bound, hydraulically bound, hydraulically and bitumen bound, block paving and small element paving (slabs/flags) materials. Options for construction with each of these materials and combinations of are provided in this specification. </w:t>
      </w:r>
    </w:p>
    <w:p w14:paraId="1764DC9C" w14:textId="77777777" w:rsidR="00676E25" w:rsidRDefault="00E657F5" w:rsidP="00676E25">
      <w:pPr>
        <w:pStyle w:val="BodyText"/>
        <w:rPr>
          <w:lang w:eastAsia="en-GB"/>
        </w:rPr>
      </w:pPr>
      <w:r>
        <w:rPr>
          <w:lang w:eastAsia="en-GB"/>
        </w:rPr>
        <w:t xml:space="preserve">All materials and workmanship must be in accordance with the appropriate British Standard Specification and the relevant series and </w:t>
      </w:r>
      <w:r w:rsidR="007330BE">
        <w:rPr>
          <w:lang w:eastAsia="en-GB"/>
        </w:rPr>
        <w:t>c</w:t>
      </w:r>
      <w:r>
        <w:rPr>
          <w:lang w:eastAsia="en-GB"/>
        </w:rPr>
        <w:t>lauses of the</w:t>
      </w:r>
      <w:r w:rsidR="00F621C3">
        <w:rPr>
          <w:lang w:eastAsia="en-GB"/>
        </w:rPr>
        <w:t xml:space="preserve"> National</w:t>
      </w:r>
      <w:r>
        <w:rPr>
          <w:lang w:eastAsia="en-GB"/>
        </w:rPr>
        <w:t xml:space="preserve"> Highways </w:t>
      </w:r>
      <w:r w:rsidR="00C95DD6">
        <w:rPr>
          <w:lang w:eastAsia="en-GB"/>
        </w:rPr>
        <w:t>MCHW</w:t>
      </w:r>
      <w:r>
        <w:rPr>
          <w:lang w:eastAsia="en-GB"/>
        </w:rPr>
        <w:t xml:space="preserve"> current at the time of the appropriate agreement. Where available all materials must have a UKCA mark.</w:t>
      </w:r>
    </w:p>
    <w:p w14:paraId="137000E6" w14:textId="77777777" w:rsidR="00AB5AC9" w:rsidRDefault="00E657F5" w:rsidP="00676E25">
      <w:pPr>
        <w:pStyle w:val="BodyText"/>
        <w:rPr>
          <w:lang w:eastAsia="en-GB"/>
        </w:rPr>
      </w:pPr>
      <w:r>
        <w:rPr>
          <w:lang w:eastAsia="en-GB"/>
        </w:rPr>
        <w:t>The amendments and additions to the specification included here are not exhaustive and it may therefore be necessary for additional appendices specific to the site in question to be prepared for approval, and inclusion in the relevant agreement</w:t>
      </w:r>
      <w:r w:rsidR="00DF19BD">
        <w:rPr>
          <w:lang w:eastAsia="en-GB"/>
        </w:rPr>
        <w:t>.</w:t>
      </w:r>
    </w:p>
    <w:p w14:paraId="4ADF422F" w14:textId="77777777" w:rsidR="007A6DAA" w:rsidRPr="00676E25" w:rsidRDefault="00E657F5" w:rsidP="00676E25">
      <w:pPr>
        <w:pStyle w:val="BodyText"/>
        <w:rPr>
          <w:lang w:eastAsia="en-GB"/>
        </w:rPr>
      </w:pPr>
      <w:r>
        <w:rPr>
          <w:lang w:eastAsia="en-GB"/>
        </w:rPr>
        <w:t>The designs contained within this document are limited to roads carrying a maximum of 10</w:t>
      </w:r>
      <w:r w:rsidR="00F621C3">
        <w:rPr>
          <w:lang w:eastAsia="en-GB"/>
        </w:rPr>
        <w:t xml:space="preserve"> million standard axles (</w:t>
      </w:r>
      <w:r>
        <w:rPr>
          <w:lang w:eastAsia="en-GB"/>
        </w:rPr>
        <w:t>msa</w:t>
      </w:r>
      <w:r w:rsidR="00F621C3">
        <w:rPr>
          <w:lang w:eastAsia="en-GB"/>
        </w:rPr>
        <w:t>)</w:t>
      </w:r>
      <w:r>
        <w:rPr>
          <w:lang w:eastAsia="en-GB"/>
        </w:rPr>
        <w:t xml:space="preserve">, </w:t>
      </w:r>
      <w:r w:rsidR="00A02DF7">
        <w:rPr>
          <w:lang w:eastAsia="en-GB"/>
        </w:rPr>
        <w:t>roads</w:t>
      </w:r>
      <w:r>
        <w:rPr>
          <w:lang w:eastAsia="en-GB"/>
        </w:rPr>
        <w:t xml:space="preserve"> carrying more than 10msa</w:t>
      </w:r>
      <w:r w:rsidR="00A02DF7">
        <w:rPr>
          <w:lang w:eastAsia="en-GB"/>
        </w:rPr>
        <w:t xml:space="preserve"> require</w:t>
      </w:r>
      <w:r>
        <w:rPr>
          <w:lang w:eastAsia="en-GB"/>
        </w:rPr>
        <w:t xml:space="preserve"> a full pavement design in accordance with the Design Manual for Roads and Bridges</w:t>
      </w:r>
      <w:r w:rsidR="00C95DD6">
        <w:rPr>
          <w:lang w:eastAsia="en-GB"/>
        </w:rPr>
        <w:t xml:space="preserve"> (DMRB)</w:t>
      </w:r>
      <w:r>
        <w:rPr>
          <w:lang w:eastAsia="en-GB"/>
        </w:rPr>
        <w:t xml:space="preserve"> must be undertaken, with the design traffic over a 40</w:t>
      </w:r>
      <w:r w:rsidR="00F621C3">
        <w:rPr>
          <w:lang w:eastAsia="en-GB"/>
        </w:rPr>
        <w:t>-</w:t>
      </w:r>
      <w:r>
        <w:rPr>
          <w:lang w:eastAsia="en-GB"/>
        </w:rPr>
        <w:t>year period to be agreed with LCC.</w:t>
      </w:r>
    </w:p>
    <w:p w14:paraId="71FADB9D" w14:textId="77777777" w:rsidR="003661B9" w:rsidRDefault="00E657F5" w:rsidP="003661B9">
      <w:pPr>
        <w:pStyle w:val="Heading2"/>
      </w:pPr>
      <w:r>
        <w:t>Site Investigation</w:t>
      </w:r>
    </w:p>
    <w:p w14:paraId="3FC80E5F" w14:textId="77777777" w:rsidR="00676E25" w:rsidRDefault="00E657F5" w:rsidP="00014AA3">
      <w:pPr>
        <w:pStyle w:val="BodyText"/>
        <w:spacing w:after="0"/>
      </w:pPr>
      <w:r>
        <w:t>Before the submission of any proposals a geotechnical site investigation must be completed to assess the following parameters that will inform the design:</w:t>
      </w:r>
    </w:p>
    <w:p w14:paraId="78DC218F" w14:textId="77777777" w:rsidR="00676E25" w:rsidRDefault="00E657F5" w:rsidP="00676E25">
      <w:pPr>
        <w:pStyle w:val="Bullet"/>
        <w:ind w:left="720"/>
      </w:pPr>
      <w:r>
        <w:t>Disposal of surface water run-off:</w:t>
      </w:r>
    </w:p>
    <w:p w14:paraId="30005CFE" w14:textId="77777777" w:rsidR="00676E25" w:rsidRDefault="00E657F5" w:rsidP="00676E25">
      <w:pPr>
        <w:pStyle w:val="Bullet"/>
        <w:ind w:left="720"/>
      </w:pPr>
      <w:r>
        <w:t>Depth to water table (or perched water table)</w:t>
      </w:r>
      <w:r w:rsidR="00B07219">
        <w:t>,</w:t>
      </w:r>
    </w:p>
    <w:p w14:paraId="18FC416F" w14:textId="77777777" w:rsidR="00676E25" w:rsidRDefault="00E657F5" w:rsidP="00676E25">
      <w:pPr>
        <w:pStyle w:val="Bullet"/>
        <w:ind w:left="720"/>
      </w:pPr>
      <w:r>
        <w:t>Chemical contamination</w:t>
      </w:r>
      <w:r w:rsidR="00B07219">
        <w:t>,</w:t>
      </w:r>
    </w:p>
    <w:p w14:paraId="20670BE7" w14:textId="77777777" w:rsidR="00676E25" w:rsidRDefault="00E657F5" w:rsidP="00676E25">
      <w:pPr>
        <w:pStyle w:val="Bullet"/>
        <w:ind w:left="720"/>
      </w:pPr>
      <w:r>
        <w:t>Determination of suitable strata for soakaway discharges</w:t>
      </w:r>
      <w:r w:rsidR="00B07219">
        <w:t>,</w:t>
      </w:r>
    </w:p>
    <w:p w14:paraId="2C4068D2" w14:textId="77777777" w:rsidR="00676E25" w:rsidRDefault="00E657F5" w:rsidP="00676E25">
      <w:pPr>
        <w:pStyle w:val="Bullet"/>
        <w:ind w:left="720"/>
      </w:pPr>
      <w:r>
        <w:t>Determination of suitable strata to delay discharge and conveyance, such as retention/detention ponds or swales</w:t>
      </w:r>
      <w:r w:rsidR="00B07219">
        <w:t>,</w:t>
      </w:r>
    </w:p>
    <w:p w14:paraId="3E021A34" w14:textId="77777777" w:rsidR="00676E25" w:rsidRDefault="00E657F5" w:rsidP="00676E25">
      <w:pPr>
        <w:pStyle w:val="Bullet"/>
        <w:ind w:left="720"/>
      </w:pPr>
      <w:r>
        <w:t>Interaction/impact on adjacent developments</w:t>
      </w:r>
      <w:r w:rsidR="00B07219">
        <w:t>,</w:t>
      </w:r>
    </w:p>
    <w:p w14:paraId="71B41587" w14:textId="77777777" w:rsidR="00676E25" w:rsidRDefault="00E657F5" w:rsidP="00676E25">
      <w:pPr>
        <w:pStyle w:val="Bullet"/>
        <w:ind w:left="720"/>
      </w:pPr>
      <w:r>
        <w:t>Consultation with Environment Agency</w:t>
      </w:r>
      <w:r w:rsidR="00B3255A">
        <w:t xml:space="preserve"> / Lead Local Flood Authority as appropriate</w:t>
      </w:r>
      <w:r w:rsidR="00B07219">
        <w:t>.</w:t>
      </w:r>
    </w:p>
    <w:p w14:paraId="24AAD7AD" w14:textId="77777777" w:rsidR="00676E25" w:rsidRDefault="00E657F5" w:rsidP="00014AA3">
      <w:pPr>
        <w:pStyle w:val="BodyText"/>
        <w:spacing w:after="0"/>
      </w:pPr>
      <w:r>
        <w:t>Sub-soil drainage:</w:t>
      </w:r>
    </w:p>
    <w:p w14:paraId="4920D699" w14:textId="77777777" w:rsidR="00676E25" w:rsidRDefault="00E657F5" w:rsidP="00676E25">
      <w:pPr>
        <w:pStyle w:val="Bullet"/>
        <w:ind w:left="720"/>
      </w:pPr>
      <w:r>
        <w:t>Depth to water table (or perched water table)</w:t>
      </w:r>
      <w:r w:rsidR="00B3255A">
        <w:t>,</w:t>
      </w:r>
    </w:p>
    <w:p w14:paraId="0BD581C1" w14:textId="77777777" w:rsidR="00676E25" w:rsidRDefault="00E657F5" w:rsidP="00676E25">
      <w:pPr>
        <w:pStyle w:val="Bullet"/>
        <w:ind w:left="720"/>
      </w:pPr>
      <w:r>
        <w:t>Potential of chemical attack to buried concrete pipes</w:t>
      </w:r>
      <w:r w:rsidR="00B3255A">
        <w:t>,</w:t>
      </w:r>
    </w:p>
    <w:p w14:paraId="18DF783F" w14:textId="77777777" w:rsidR="00676E25" w:rsidRDefault="00E657F5" w:rsidP="00676E25">
      <w:pPr>
        <w:pStyle w:val="Bullet"/>
        <w:ind w:left="720"/>
      </w:pPr>
      <w:r>
        <w:t>Interaction/impact on adjacent developments</w:t>
      </w:r>
      <w:r w:rsidR="00B3255A">
        <w:t>.</w:t>
      </w:r>
    </w:p>
    <w:p w14:paraId="5014C607" w14:textId="77777777" w:rsidR="00676E25" w:rsidRDefault="00E657F5" w:rsidP="00014AA3">
      <w:pPr>
        <w:pStyle w:val="BodyText"/>
        <w:spacing w:after="0"/>
      </w:pPr>
      <w:r>
        <w:t>Earthworks:</w:t>
      </w:r>
    </w:p>
    <w:p w14:paraId="47FDDCC6" w14:textId="77777777" w:rsidR="00676E25" w:rsidRDefault="00E657F5" w:rsidP="00676E25">
      <w:pPr>
        <w:pStyle w:val="Bullet"/>
        <w:ind w:left="720"/>
      </w:pPr>
      <w:r>
        <w:t>Cutting or embankment fill slopes</w:t>
      </w:r>
      <w:r w:rsidR="00B3255A">
        <w:t>,</w:t>
      </w:r>
    </w:p>
    <w:p w14:paraId="710B76C9" w14:textId="77777777" w:rsidR="00676E25" w:rsidRDefault="00E657F5" w:rsidP="00676E25">
      <w:pPr>
        <w:pStyle w:val="Bullet"/>
        <w:ind w:left="720"/>
      </w:pPr>
      <w:r>
        <w:t>Limits for earthworks acceptability/recycling of site won materials</w:t>
      </w:r>
      <w:r w:rsidR="00B3255A">
        <w:t>,</w:t>
      </w:r>
    </w:p>
    <w:p w14:paraId="5FD8FB92" w14:textId="77777777" w:rsidR="00676E25" w:rsidRDefault="00E657F5" w:rsidP="00676E25">
      <w:pPr>
        <w:pStyle w:val="Bullet"/>
        <w:ind w:left="720"/>
      </w:pPr>
      <w:r>
        <w:t>Chemical contamination</w:t>
      </w:r>
      <w:r w:rsidR="00B3255A">
        <w:t>,</w:t>
      </w:r>
    </w:p>
    <w:p w14:paraId="2238084D" w14:textId="77777777" w:rsidR="00676E25" w:rsidRDefault="00E657F5" w:rsidP="00676E25">
      <w:pPr>
        <w:pStyle w:val="Bullet"/>
        <w:ind w:left="720"/>
      </w:pPr>
      <w:r>
        <w:t>Ground improvement of foundation soils</w:t>
      </w:r>
      <w:r w:rsidR="00B3255A">
        <w:t>,</w:t>
      </w:r>
    </w:p>
    <w:p w14:paraId="5AA339E7" w14:textId="77777777" w:rsidR="00676E25" w:rsidRDefault="00E657F5" w:rsidP="00676E25">
      <w:pPr>
        <w:pStyle w:val="Bullet"/>
        <w:ind w:left="720"/>
      </w:pPr>
      <w:r>
        <w:t>Interaction/impact on adjacent developments</w:t>
      </w:r>
      <w:r w:rsidR="00B3255A">
        <w:t>,</w:t>
      </w:r>
    </w:p>
    <w:p w14:paraId="42F13B25" w14:textId="77777777" w:rsidR="00676E25" w:rsidRDefault="00E657F5" w:rsidP="00676E25">
      <w:pPr>
        <w:pStyle w:val="Bullet"/>
        <w:ind w:left="720"/>
      </w:pPr>
      <w:r>
        <w:t>Geotechnical certification for engineered slopes/reinforced structures.</w:t>
      </w:r>
    </w:p>
    <w:p w14:paraId="3B76C752" w14:textId="77777777" w:rsidR="00676E25" w:rsidRDefault="00E657F5" w:rsidP="00014AA3">
      <w:pPr>
        <w:pStyle w:val="BodyText"/>
        <w:spacing w:after="0"/>
      </w:pPr>
      <w:r>
        <w:t>Road Pavement Design:</w:t>
      </w:r>
    </w:p>
    <w:p w14:paraId="56C95633" w14:textId="77777777" w:rsidR="00676E25" w:rsidRDefault="00E657F5" w:rsidP="00676E25">
      <w:pPr>
        <w:pStyle w:val="Bullet"/>
        <w:ind w:left="720"/>
      </w:pPr>
      <w:r>
        <w:t>Short term subgrade surface modulus</w:t>
      </w:r>
      <w:r w:rsidR="00096440">
        <w:t>,</w:t>
      </w:r>
    </w:p>
    <w:p w14:paraId="04FCD253" w14:textId="77777777" w:rsidR="00676E25" w:rsidRDefault="00E657F5" w:rsidP="00676E25">
      <w:pPr>
        <w:pStyle w:val="Bullet"/>
        <w:ind w:left="720"/>
      </w:pPr>
      <w:r>
        <w:t>Long term subgrade surface modulus</w:t>
      </w:r>
      <w:r w:rsidR="00096440">
        <w:t>,</w:t>
      </w:r>
    </w:p>
    <w:p w14:paraId="721D6DED" w14:textId="77777777" w:rsidR="00676E25" w:rsidRDefault="00E657F5" w:rsidP="00676E25">
      <w:pPr>
        <w:pStyle w:val="Bullet"/>
        <w:ind w:left="720"/>
      </w:pPr>
      <w:r>
        <w:t>Frost susceptibility of sub-grade</w:t>
      </w:r>
      <w:r w:rsidR="00096440">
        <w:t>,</w:t>
      </w:r>
    </w:p>
    <w:p w14:paraId="6E0F0AA4" w14:textId="77777777" w:rsidR="00676E25" w:rsidRDefault="00E657F5" w:rsidP="00676E25">
      <w:pPr>
        <w:pStyle w:val="Bullet"/>
        <w:ind w:left="720"/>
      </w:pPr>
      <w:r>
        <w:t>Treatment of soft spots</w:t>
      </w:r>
      <w:r w:rsidR="00096440">
        <w:t>,</w:t>
      </w:r>
    </w:p>
    <w:p w14:paraId="521824FF" w14:textId="77777777" w:rsidR="00676E25" w:rsidRDefault="00E657F5" w:rsidP="00676E25">
      <w:pPr>
        <w:pStyle w:val="Bullet"/>
        <w:ind w:left="720"/>
      </w:pPr>
      <w:r>
        <w:t>Risk of differential settlement</w:t>
      </w:r>
      <w:r w:rsidR="00096440">
        <w:t>,</w:t>
      </w:r>
    </w:p>
    <w:p w14:paraId="03502860" w14:textId="77777777" w:rsidR="00676E25" w:rsidRDefault="00E657F5" w:rsidP="00676E25">
      <w:pPr>
        <w:pStyle w:val="Bullet"/>
        <w:ind w:left="720"/>
      </w:pPr>
      <w:r>
        <w:t>Suitability of subgrade and site won soils for in-situ stabilisation</w:t>
      </w:r>
      <w:r w:rsidR="00096440">
        <w:t>,</w:t>
      </w:r>
    </w:p>
    <w:p w14:paraId="3529A745" w14:textId="77777777" w:rsidR="00676E25" w:rsidRDefault="00E657F5" w:rsidP="00676E25">
      <w:pPr>
        <w:pStyle w:val="Bullet"/>
        <w:ind w:left="720"/>
      </w:pPr>
      <w:r>
        <w:t>Shrinkage and consolidation potential of clays</w:t>
      </w:r>
      <w:r w:rsidR="00096440">
        <w:t>.</w:t>
      </w:r>
    </w:p>
    <w:p w14:paraId="1A02C4FB" w14:textId="77777777" w:rsidR="00676E25" w:rsidRDefault="00E657F5" w:rsidP="00676E25">
      <w:pPr>
        <w:pStyle w:val="BodyText"/>
      </w:pPr>
      <w:r>
        <w:t>The geotechnical investigation must be carried out in accordance with '</w:t>
      </w:r>
      <w:r w:rsidR="00317023">
        <w:t>Association of Geotechnical &amp; Geotechnical Specialists (</w:t>
      </w:r>
      <w:r>
        <w:t>AGS</w:t>
      </w:r>
      <w:r w:rsidR="00317023">
        <w:t>)</w:t>
      </w:r>
      <w:r>
        <w:t xml:space="preserve"> Guidelines for Good Practice in Geotechnical Ground Investigation'. The investigation should include a desk study followed by a ground investigation.</w:t>
      </w:r>
    </w:p>
    <w:p w14:paraId="774BA387" w14:textId="77777777" w:rsidR="00676E25" w:rsidRPr="00676E25" w:rsidRDefault="00E657F5" w:rsidP="00676E25">
      <w:pPr>
        <w:pStyle w:val="BodyText"/>
      </w:pPr>
      <w:r>
        <w:t xml:space="preserve">The desk study should consist of an initial desk study which should collect existing information as given in </w:t>
      </w:r>
      <w:r w:rsidR="007330BE">
        <w:t>C</w:t>
      </w:r>
      <w:r>
        <w:t xml:space="preserve">lause 2.1.1.(7) of BS EN 1997 Part 2:2007 and any other additional information that is considered relevant. This should include a site inspection by a geotechnical </w:t>
      </w:r>
      <w:r w:rsidR="00041A2E">
        <w:t>Engineer</w:t>
      </w:r>
      <w:r>
        <w:t>.</w:t>
      </w:r>
    </w:p>
    <w:p w14:paraId="2BCD63C9" w14:textId="77777777" w:rsidR="003661B9" w:rsidRDefault="00E657F5" w:rsidP="005C4325">
      <w:pPr>
        <w:pStyle w:val="Heading2"/>
      </w:pPr>
      <w:r>
        <w:t>Service ducts and pipework</w:t>
      </w:r>
    </w:p>
    <w:p w14:paraId="0179E5AC" w14:textId="77777777" w:rsidR="003661B9" w:rsidRPr="003661B9" w:rsidRDefault="00E657F5" w:rsidP="003661B9">
      <w:pPr>
        <w:pStyle w:val="BodyText"/>
      </w:pPr>
      <w:r>
        <w:t>Service ducts and pipework must, wherever practicable, be located outside of the road construction. Where this is not possible and service crossing must be installed prior to construction of the road and protected from damage.</w:t>
      </w:r>
    </w:p>
    <w:p w14:paraId="3C6CAE2F" w14:textId="77777777" w:rsidR="003661B9" w:rsidRPr="003661B9" w:rsidRDefault="00E657F5" w:rsidP="003661B9">
      <w:pPr>
        <w:pStyle w:val="Heading2"/>
      </w:pPr>
      <w:r>
        <w:t>Carriageway</w:t>
      </w:r>
      <w:r w:rsidR="00014C12">
        <w:t xml:space="preserve"> Pavement Foundations</w:t>
      </w:r>
    </w:p>
    <w:p w14:paraId="30630B7B" w14:textId="77777777" w:rsidR="003661B9" w:rsidRDefault="00E657F5" w:rsidP="003661B9">
      <w:pPr>
        <w:pStyle w:val="Heading3"/>
      </w:pPr>
      <w:r>
        <w:t>Carriageway</w:t>
      </w:r>
      <w:r w:rsidR="00014C12">
        <w:t xml:space="preserve"> Pavement Foundation Design Thickness</w:t>
      </w:r>
    </w:p>
    <w:p w14:paraId="62BC3AC8" w14:textId="77777777" w:rsidR="003661B9" w:rsidRPr="003661B9" w:rsidRDefault="00E657F5" w:rsidP="003661B9">
      <w:pPr>
        <w:pStyle w:val="BodyText"/>
      </w:pPr>
      <w:r w:rsidRPr="003661B9">
        <w:t xml:space="preserve">The design subgrade </w:t>
      </w:r>
      <w:r w:rsidR="004379BC">
        <w:t>California Bearing Ratio (</w:t>
      </w:r>
      <w:r w:rsidRPr="003661B9">
        <w:t>CBR</w:t>
      </w:r>
      <w:r w:rsidR="004379BC">
        <w:t>)</w:t>
      </w:r>
      <w:r w:rsidRPr="003661B9">
        <w:t xml:space="preserve"> shall be used in the pavement foundation design. The design subgrade CBR shall be determined as being equal to the lower of the short-term subgrade CBR and the long-term subgrade CBR.</w:t>
      </w:r>
    </w:p>
    <w:p w14:paraId="6A280756" w14:textId="77777777" w:rsidR="00A021FE" w:rsidRDefault="00E657F5" w:rsidP="0019659A">
      <w:pPr>
        <w:pStyle w:val="BodyText"/>
      </w:pPr>
      <w:r w:rsidRPr="003661B9">
        <w:t xml:space="preserve">The short-term subgrade CBR is that which is </w:t>
      </w:r>
      <w:r w:rsidR="006C0883">
        <w:t>the est</w:t>
      </w:r>
      <w:r w:rsidR="0019659A">
        <w:t xml:space="preserve">imated value </w:t>
      </w:r>
      <w:r w:rsidR="008C70EF">
        <w:t>during construction</w:t>
      </w:r>
      <w:r w:rsidRPr="003661B9">
        <w:t>. The long-term subgrade CBR is th</w:t>
      </w:r>
      <w:r w:rsidR="008C70EF">
        <w:t xml:space="preserve">e </w:t>
      </w:r>
      <w:r w:rsidR="00B159EB">
        <w:t xml:space="preserve">value </w:t>
      </w:r>
      <w:r w:rsidR="00724A20">
        <w:t>when a state of equilibrium is reached under the pavement</w:t>
      </w:r>
      <w:r w:rsidRPr="003661B9">
        <w:t xml:space="preserve">. The determination of the </w:t>
      </w:r>
      <w:r w:rsidR="0020339B">
        <w:t xml:space="preserve">short-term and </w:t>
      </w:r>
      <w:r w:rsidR="00CC47A9">
        <w:t xml:space="preserve">long-term </w:t>
      </w:r>
      <w:r w:rsidRPr="003661B9">
        <w:t>subgrade CBR shall be carried out in accordance with BS 1377</w:t>
      </w:r>
      <w:r w:rsidR="00CC47A9">
        <w:t>-</w:t>
      </w:r>
      <w:r w:rsidR="0020339B">
        <w:t>9 and BS 1377-</w:t>
      </w:r>
      <w:r w:rsidR="00CC47A9">
        <w:t>4</w:t>
      </w:r>
      <w:r w:rsidR="0020339B">
        <w:t>, respectively</w:t>
      </w:r>
      <w:r w:rsidRPr="003661B9">
        <w:t xml:space="preserve">. </w:t>
      </w:r>
    </w:p>
    <w:p w14:paraId="1CAE51AD" w14:textId="77777777" w:rsidR="002A63E1" w:rsidRDefault="00E657F5" w:rsidP="0019659A">
      <w:pPr>
        <w:pStyle w:val="BodyText"/>
      </w:pPr>
      <w:r>
        <w:t xml:space="preserve">The frequency of testing will be </w:t>
      </w:r>
      <w:r w:rsidR="00444D45">
        <w:t>dependent upon the scale of development and the variability of the grou</w:t>
      </w:r>
      <w:r w:rsidR="008A1093">
        <w:t xml:space="preserve">nd conditions found in the geotechnical investigation. </w:t>
      </w:r>
      <w:r w:rsidR="00610B84">
        <w:t>However, a minimum of 10 tests per foundation area</w:t>
      </w:r>
      <w:r w:rsidR="004F1B01">
        <w:t>, with maximum spacings of 60m along each road lane</w:t>
      </w:r>
      <w:r w:rsidR="003119CA">
        <w:t xml:space="preserve"> applies.</w:t>
      </w:r>
    </w:p>
    <w:p w14:paraId="66800EBF" w14:textId="77777777" w:rsidR="00016F02" w:rsidRDefault="00E657F5" w:rsidP="0019659A">
      <w:pPr>
        <w:pStyle w:val="BodyText"/>
      </w:pPr>
      <w:r>
        <w:t>Alternative methods</w:t>
      </w:r>
      <w:r w:rsidR="00D67B5A">
        <w:t xml:space="preserve"> (such </w:t>
      </w:r>
      <w:r w:rsidR="004C4F1E">
        <w:t xml:space="preserve">as those detailed in </w:t>
      </w:r>
      <w:r w:rsidR="00D67B5A">
        <w:t xml:space="preserve">MCHW </w:t>
      </w:r>
      <w:r w:rsidR="007330BE">
        <w:t>C</w:t>
      </w:r>
      <w:r w:rsidR="00D67B5A">
        <w:t xml:space="preserve">lause </w:t>
      </w:r>
      <w:r w:rsidR="004C4F1E">
        <w:t>882)</w:t>
      </w:r>
      <w:r>
        <w:t xml:space="preserve"> </w:t>
      </w:r>
      <w:r w:rsidR="00D67B5A">
        <w:t>for determining the short-term CBR may also be accepted subject to a</w:t>
      </w:r>
      <w:r w:rsidR="004C4F1E">
        <w:t>pproval by</w:t>
      </w:r>
      <w:r w:rsidR="00D67B5A">
        <w:t xml:space="preserve"> the Engineer</w:t>
      </w:r>
      <w:r w:rsidR="00C95DD6">
        <w:t>.</w:t>
      </w:r>
    </w:p>
    <w:p w14:paraId="59C2985E" w14:textId="77777777" w:rsidR="00390A9A" w:rsidRDefault="00E657F5" w:rsidP="0019659A">
      <w:pPr>
        <w:pStyle w:val="BodyText"/>
      </w:pPr>
      <w:r>
        <w:t xml:space="preserve">Any </w:t>
      </w:r>
      <w:r w:rsidR="001F67C2">
        <w:t xml:space="preserve">laboratory derived </w:t>
      </w:r>
      <w:r w:rsidR="00FB3385">
        <w:t>long</w:t>
      </w:r>
      <w:r>
        <w:t>-</w:t>
      </w:r>
      <w:r w:rsidR="00FB3385">
        <w:t xml:space="preserve">term </w:t>
      </w:r>
      <w:r w:rsidR="001F67C2">
        <w:t xml:space="preserve">CBR </w:t>
      </w:r>
      <w:r w:rsidR="007923C1">
        <w:t xml:space="preserve">value </w:t>
      </w:r>
      <w:r w:rsidR="001F67C2">
        <w:t xml:space="preserve">that is less than 5% will normally </w:t>
      </w:r>
      <w:r w:rsidR="009D0C11">
        <w:t>require</w:t>
      </w:r>
      <w:r w:rsidR="001F67C2">
        <w:t xml:space="preserve"> a capping layer (either in-situ </w:t>
      </w:r>
      <w:r w:rsidR="0020339B">
        <w:t>stabilised,</w:t>
      </w:r>
      <w:r w:rsidR="001F67C2">
        <w:t xml:space="preserve"> or material</w:t>
      </w:r>
      <w:r w:rsidR="00DF19BD">
        <w:t xml:space="preserve"> sourced and produced on site</w:t>
      </w:r>
      <w:r w:rsidR="001F67C2">
        <w:t>)</w:t>
      </w:r>
      <w:r w:rsidR="009D0C11">
        <w:t xml:space="preserve">, </w:t>
      </w:r>
      <w:r w:rsidR="00526EC1">
        <w:t>as</w:t>
      </w:r>
      <w:r w:rsidR="009D0C11">
        <w:t xml:space="preserve"> </w:t>
      </w:r>
      <w:r w:rsidR="005750C8">
        <w:t xml:space="preserve">lower </w:t>
      </w:r>
      <w:r w:rsidR="00C43030">
        <w:t xml:space="preserve">long-term </w:t>
      </w:r>
      <w:r w:rsidR="005750C8">
        <w:t xml:space="preserve">CBR values </w:t>
      </w:r>
      <w:r w:rsidR="00C43030">
        <w:t xml:space="preserve">are normally </w:t>
      </w:r>
      <w:r w:rsidR="005750C8">
        <w:t xml:space="preserve">associated with lower </w:t>
      </w:r>
      <w:r w:rsidR="003331FE">
        <w:t>short-term CBR values</w:t>
      </w:r>
      <w:r w:rsidR="005750C8">
        <w:t xml:space="preserve">. </w:t>
      </w:r>
      <w:r w:rsidR="009D0C11">
        <w:t xml:space="preserve"> </w:t>
      </w:r>
    </w:p>
    <w:p w14:paraId="195C25F8" w14:textId="77777777" w:rsidR="0019659A" w:rsidRDefault="00E657F5" w:rsidP="0019659A">
      <w:pPr>
        <w:pStyle w:val="BodyText"/>
      </w:pPr>
      <w:r w:rsidRPr="003661B9">
        <w:t xml:space="preserve">The pavement foundation shall be divided into characteristic sections of subgrade, each having a single design subgrade CBR. The characteristic sections should be based on the type of subgrade material and its condition. </w:t>
      </w:r>
    </w:p>
    <w:p w14:paraId="7F294A12" w14:textId="77777777" w:rsidR="003661B9" w:rsidRPr="003661B9" w:rsidRDefault="00E657F5" w:rsidP="003661B9">
      <w:pPr>
        <w:pStyle w:val="BodyText"/>
      </w:pPr>
      <w:r w:rsidRPr="003661B9">
        <w:t>The short-term subgrade CBR and long-term subgrade CBR shall be</w:t>
      </w:r>
      <w:r>
        <w:t xml:space="preserve"> </w:t>
      </w:r>
      <w:r w:rsidRPr="003661B9">
        <w:t>determined for each characteristic section of subgrade.</w:t>
      </w:r>
    </w:p>
    <w:p w14:paraId="6E0B9078" w14:textId="77777777" w:rsidR="003661B9" w:rsidRPr="003661B9" w:rsidRDefault="00E657F5" w:rsidP="003661B9">
      <w:pPr>
        <w:pStyle w:val="BodyText"/>
      </w:pPr>
      <w:r w:rsidRPr="003661B9">
        <w:t>The presence of a high or perched water table (300 mm or less below formation level) can reduce subgrade stiffness, culminating in low subgrade surface modulus values at the time of construction. Guidance on determining subgrade surface modulus values in the presence of a high or perched water table is given in</w:t>
      </w:r>
      <w:r w:rsidR="006C400A" w:rsidRPr="006C400A">
        <w:t xml:space="preserve"> </w:t>
      </w:r>
      <w:r w:rsidR="006C400A">
        <w:t xml:space="preserve">TRL Report </w:t>
      </w:r>
      <w:r w:rsidR="006C400A" w:rsidRPr="003661B9">
        <w:t xml:space="preserve">LR1132 </w:t>
      </w:r>
      <w:r w:rsidR="006C400A">
        <w:t>'The structural design of bituminous roads'.</w:t>
      </w:r>
    </w:p>
    <w:p w14:paraId="4CB23637" w14:textId="77777777" w:rsidR="003661B9" w:rsidRPr="003661B9" w:rsidRDefault="00E657F5" w:rsidP="003661B9">
      <w:pPr>
        <w:pStyle w:val="BodyText"/>
      </w:pPr>
      <w:r w:rsidRPr="003661B9">
        <w:t xml:space="preserve">For widening schemes, where the subgrade is consistent across the width of the existing carriageway and the proposed widening, use of the in situ long-term subgrade </w:t>
      </w:r>
      <w:r w:rsidR="00CC4875">
        <w:t>CBR</w:t>
      </w:r>
      <w:r w:rsidRPr="003661B9">
        <w:t xml:space="preserve"> of the subgrade below the existing carriageway may be used for design purposes. </w:t>
      </w:r>
    </w:p>
    <w:p w14:paraId="6BD6C81A" w14:textId="77777777" w:rsidR="003661B9" w:rsidRDefault="00E657F5" w:rsidP="003661B9">
      <w:pPr>
        <w:pStyle w:val="BodyText"/>
      </w:pPr>
      <w:r w:rsidRPr="003661B9">
        <w:t xml:space="preserve">For widening schemes, the depth at which the design subgrade </w:t>
      </w:r>
      <w:r w:rsidR="009853A2">
        <w:t>CBR</w:t>
      </w:r>
      <w:r w:rsidRPr="003661B9">
        <w:t xml:space="preserve"> is determined may be dependent on any requirements to maintain drainage continuity between the existing carriageway and the proposed widening.</w:t>
      </w:r>
    </w:p>
    <w:p w14:paraId="29C76B68" w14:textId="77777777" w:rsidR="00676E25" w:rsidRDefault="00E657F5" w:rsidP="00014AA3">
      <w:pPr>
        <w:pStyle w:val="BodyText"/>
        <w:spacing w:after="0"/>
        <w:rPr>
          <w:rFonts w:cs="Arial"/>
          <w:lang w:eastAsia="en-GB"/>
        </w:rPr>
      </w:pPr>
      <w:r w:rsidRPr="003661B9">
        <w:t xml:space="preserve">For each characteristic section of subgrade, the following shall be detailed: </w:t>
      </w:r>
      <w:r w:rsidRPr="003661B9">
        <w:tab/>
      </w:r>
    </w:p>
    <w:p w14:paraId="6270463A" w14:textId="77777777" w:rsidR="00676E25" w:rsidRDefault="00E657F5" w:rsidP="003661B9">
      <w:pPr>
        <w:pStyle w:val="Bullet"/>
      </w:pPr>
      <w:r w:rsidRPr="00676E25">
        <w:t>start and end chainage</w:t>
      </w:r>
      <w:r w:rsidR="00AF6609">
        <w:t>,</w:t>
      </w:r>
      <w:r w:rsidR="00AF6609" w:rsidRPr="00676E25">
        <w:t xml:space="preserve"> </w:t>
      </w:r>
    </w:p>
    <w:p w14:paraId="084309EC" w14:textId="77777777" w:rsidR="00676E25" w:rsidRDefault="00E657F5" w:rsidP="003661B9">
      <w:pPr>
        <w:pStyle w:val="Bullet"/>
      </w:pPr>
      <w:r w:rsidRPr="00676E25">
        <w:t xml:space="preserve">short-term subgrade </w:t>
      </w:r>
      <w:r w:rsidR="00AD651F">
        <w:t>CBR</w:t>
      </w:r>
      <w:r w:rsidR="00AA50C0">
        <w:t>,</w:t>
      </w:r>
      <w:r w:rsidRPr="00676E25">
        <w:tab/>
      </w:r>
      <w:r w:rsidRPr="00676E25">
        <w:tab/>
      </w:r>
    </w:p>
    <w:p w14:paraId="0EE056F6" w14:textId="77777777" w:rsidR="00676E25" w:rsidRDefault="00E657F5" w:rsidP="003661B9">
      <w:pPr>
        <w:pStyle w:val="Bullet"/>
      </w:pPr>
      <w:r w:rsidRPr="00676E25">
        <w:t xml:space="preserve">long-term subgrade </w:t>
      </w:r>
      <w:r w:rsidR="00F20E9F">
        <w:t>CBR</w:t>
      </w:r>
      <w:r w:rsidRPr="00676E25">
        <w:t xml:space="preserve"> and, </w:t>
      </w:r>
    </w:p>
    <w:p w14:paraId="4F74E5FF" w14:textId="77777777" w:rsidR="003661B9" w:rsidRPr="003661B9" w:rsidRDefault="00E657F5" w:rsidP="003661B9">
      <w:pPr>
        <w:pStyle w:val="Bullet"/>
      </w:pPr>
      <w:r w:rsidRPr="00676E25">
        <w:t xml:space="preserve">design subgrade </w:t>
      </w:r>
      <w:r w:rsidR="00F20E9F">
        <w:t>CBR</w:t>
      </w:r>
    </w:p>
    <w:p w14:paraId="52A83E2E" w14:textId="77777777" w:rsidR="003661B9" w:rsidRPr="003661B9" w:rsidRDefault="00E657F5" w:rsidP="00676E25">
      <w:pPr>
        <w:pStyle w:val="BodyText"/>
        <w:jc w:val="left"/>
      </w:pPr>
      <w:r w:rsidRPr="003661B9">
        <w:t>Where the design</w:t>
      </w:r>
      <w:r w:rsidR="00676E25">
        <w:t xml:space="preserve"> </w:t>
      </w:r>
      <w:r w:rsidRPr="003661B9">
        <w:t xml:space="preserve">subgrade </w:t>
      </w:r>
      <w:r w:rsidR="004017D8">
        <w:t>CBR is lower 2.5%</w:t>
      </w:r>
      <w:r w:rsidRPr="003661B9">
        <w:t>, improvement of</w:t>
      </w:r>
      <w:r w:rsidR="00676E25">
        <w:t xml:space="preserve"> </w:t>
      </w:r>
      <w:r w:rsidRPr="003661B9">
        <w:t>the subgrade shall be</w:t>
      </w:r>
      <w:r w:rsidR="00676E25">
        <w:t xml:space="preserve"> </w:t>
      </w:r>
      <w:r w:rsidRPr="003661B9">
        <w:t xml:space="preserve">undertaken. Subgrades with a design subgrade </w:t>
      </w:r>
      <w:r w:rsidR="004017D8">
        <w:t>CBR is</w:t>
      </w:r>
      <w:r w:rsidRPr="003661B9">
        <w:t xml:space="preserve"> lower than </w:t>
      </w:r>
      <w:r w:rsidR="004017D8">
        <w:t>2.5%</w:t>
      </w:r>
      <w:r w:rsidRPr="003661B9">
        <w:t xml:space="preserve"> are unsuitable to support the construction of a pavement foundation.</w:t>
      </w:r>
    </w:p>
    <w:p w14:paraId="1B663CAF" w14:textId="77777777" w:rsidR="003661B9" w:rsidRPr="003661B9" w:rsidRDefault="00E657F5" w:rsidP="003661B9">
      <w:pPr>
        <w:pStyle w:val="BodyText"/>
      </w:pPr>
      <w:r w:rsidRPr="003661B9">
        <w:t>Options for improvement of the subgrade include excavation and replacing between 500 to 1000 mm of the soft subgrade with granular fill</w:t>
      </w:r>
      <w:r w:rsidR="007D3C18">
        <w:t xml:space="preserve"> </w:t>
      </w:r>
      <w:r w:rsidRPr="003661B9">
        <w:t xml:space="preserve">and soil stabilisation. </w:t>
      </w:r>
    </w:p>
    <w:p w14:paraId="3C32D479" w14:textId="77777777" w:rsidR="003661B9" w:rsidRPr="003661B9" w:rsidRDefault="00E657F5" w:rsidP="003661B9">
      <w:pPr>
        <w:pStyle w:val="BodyText"/>
      </w:pPr>
      <w:r w:rsidRPr="003661B9">
        <w:t xml:space="preserve">The upper limit on design </w:t>
      </w:r>
      <w:r w:rsidR="00784516">
        <w:t xml:space="preserve">CBR </w:t>
      </w:r>
      <w:r w:rsidRPr="003661B9">
        <w:t xml:space="preserve">for areas of improvement of the subgrade shall be </w:t>
      </w:r>
      <w:r w:rsidR="00784516">
        <w:t>5%</w:t>
      </w:r>
      <w:r w:rsidRPr="003661B9">
        <w:t xml:space="preserve">. </w:t>
      </w:r>
    </w:p>
    <w:p w14:paraId="050E0A11" w14:textId="77777777" w:rsidR="003661B9" w:rsidRPr="003661B9" w:rsidRDefault="00E657F5" w:rsidP="003661B9">
      <w:pPr>
        <w:pStyle w:val="BodyText"/>
      </w:pPr>
      <w:r>
        <w:t>The short term CBR will need to be rechecked at the time of construction and w</w:t>
      </w:r>
      <w:r w:rsidRPr="003661B9">
        <w:t xml:space="preserve">here </w:t>
      </w:r>
      <w:r w:rsidR="002E264E">
        <w:t xml:space="preserve">it </w:t>
      </w:r>
      <w:r w:rsidRPr="003661B9">
        <w:t xml:space="preserve">is found to be lower than the design subgrade </w:t>
      </w:r>
      <w:r w:rsidR="009B0289">
        <w:t>CBR,</w:t>
      </w:r>
      <w:r w:rsidRPr="003661B9">
        <w:t xml:space="preserve"> then action shall be taken by either effecting improvement of the subgrade or by reviewing the design subgrade </w:t>
      </w:r>
      <w:r w:rsidR="00FF4061">
        <w:t>CBR</w:t>
      </w:r>
      <w:r w:rsidRPr="003661B9">
        <w:t xml:space="preserve"> with a view to redesign using the lower value.</w:t>
      </w:r>
    </w:p>
    <w:p w14:paraId="06A4D511" w14:textId="77777777" w:rsidR="00676E25" w:rsidRDefault="00E657F5" w:rsidP="003661B9">
      <w:pPr>
        <w:pStyle w:val="BodyText"/>
      </w:pPr>
      <w:r w:rsidRPr="003661B9">
        <w:t xml:space="preserve">The </w:t>
      </w:r>
      <w:r w:rsidR="00FF4061">
        <w:t xml:space="preserve">foundation </w:t>
      </w:r>
      <w:r w:rsidRPr="003661B9">
        <w:t>design requirements</w:t>
      </w:r>
      <w:r w:rsidR="00FF4061">
        <w:t xml:space="preserve"> included</w:t>
      </w:r>
      <w:r w:rsidRPr="003661B9">
        <w:t xml:space="preserve"> below are based upon a long-term confined foundation surface modulus of greater than or equal to 100MPa (Foundation Class 2).</w:t>
      </w:r>
    </w:p>
    <w:p w14:paraId="7C8EAB10" w14:textId="77777777" w:rsidR="00082833" w:rsidRDefault="00E657F5" w:rsidP="00014AA3">
      <w:pPr>
        <w:pStyle w:val="BodyText"/>
        <w:spacing w:after="0"/>
      </w:pPr>
      <w:r>
        <w:t>Five</w:t>
      </w:r>
      <w:r w:rsidR="00266164">
        <w:t xml:space="preserve"> options for pavement foundation are given:</w:t>
      </w:r>
    </w:p>
    <w:p w14:paraId="0845865E" w14:textId="77777777" w:rsidR="00266164" w:rsidRDefault="00E657F5" w:rsidP="00014AA3">
      <w:pPr>
        <w:pStyle w:val="BodyText"/>
        <w:numPr>
          <w:ilvl w:val="0"/>
          <w:numId w:val="8"/>
        </w:numPr>
        <w:spacing w:after="0"/>
      </w:pPr>
      <w:r>
        <w:t xml:space="preserve">Table </w:t>
      </w:r>
      <w:r w:rsidR="001600FA">
        <w:t>5</w:t>
      </w:r>
      <w:r>
        <w:t xml:space="preserve"> – Unbound sub-base </w:t>
      </w:r>
      <w:r w:rsidR="00AC00A8">
        <w:t>only</w:t>
      </w:r>
      <w:r w:rsidR="00AF6609">
        <w:t>.</w:t>
      </w:r>
      <w:r w:rsidR="00AC00A8">
        <w:t xml:space="preserve"> </w:t>
      </w:r>
    </w:p>
    <w:p w14:paraId="6E4079DF" w14:textId="77777777" w:rsidR="00266164" w:rsidRDefault="00E657F5" w:rsidP="00014AA3">
      <w:pPr>
        <w:pStyle w:val="BodyText"/>
        <w:numPr>
          <w:ilvl w:val="0"/>
          <w:numId w:val="8"/>
        </w:numPr>
        <w:spacing w:after="0"/>
      </w:pPr>
      <w:r>
        <w:t xml:space="preserve">Table </w:t>
      </w:r>
      <w:r w:rsidR="001600FA">
        <w:t>6</w:t>
      </w:r>
      <w:r>
        <w:t xml:space="preserve"> – Hydraulically bound sub-base</w:t>
      </w:r>
      <w:r w:rsidR="00BE1A91">
        <w:t xml:space="preserve"> only</w:t>
      </w:r>
      <w:r>
        <w:t>, including in-situ stabilisation</w:t>
      </w:r>
      <w:r w:rsidR="00AF6609">
        <w:t>.</w:t>
      </w:r>
      <w:r w:rsidR="00AC00A8">
        <w:t xml:space="preserve"> </w:t>
      </w:r>
    </w:p>
    <w:p w14:paraId="3A9042EB" w14:textId="77777777" w:rsidR="00266164" w:rsidRDefault="00E657F5" w:rsidP="00014AA3">
      <w:pPr>
        <w:pStyle w:val="BodyText"/>
        <w:numPr>
          <w:ilvl w:val="0"/>
          <w:numId w:val="8"/>
        </w:numPr>
        <w:spacing w:after="0"/>
      </w:pPr>
      <w:r>
        <w:t xml:space="preserve">Table </w:t>
      </w:r>
      <w:r w:rsidR="001600FA">
        <w:t>7</w:t>
      </w:r>
      <w:r>
        <w:t xml:space="preserve"> – Unbound sub-base </w:t>
      </w:r>
      <w:r w:rsidR="00AC00A8">
        <w:t xml:space="preserve">over </w:t>
      </w:r>
      <w:r w:rsidR="007D3C18">
        <w:t>i</w:t>
      </w:r>
      <w:r w:rsidR="00AC00A8">
        <w:t>n-situ stabilised capping</w:t>
      </w:r>
      <w:r w:rsidR="00AF6609">
        <w:t>.</w:t>
      </w:r>
    </w:p>
    <w:p w14:paraId="4B640238" w14:textId="77777777" w:rsidR="00AC00A8" w:rsidRDefault="00E657F5" w:rsidP="00014AA3">
      <w:pPr>
        <w:pStyle w:val="BodyText"/>
        <w:numPr>
          <w:ilvl w:val="0"/>
          <w:numId w:val="8"/>
        </w:numPr>
        <w:spacing w:after="0"/>
      </w:pPr>
      <w:r>
        <w:t xml:space="preserve">Table </w:t>
      </w:r>
      <w:r w:rsidR="001600FA">
        <w:t>8</w:t>
      </w:r>
      <w:r>
        <w:t xml:space="preserve"> </w:t>
      </w:r>
      <w:r w:rsidR="00BE1A91">
        <w:t xml:space="preserve">– </w:t>
      </w:r>
      <w:r>
        <w:t>Hydraulically bound sub-b</w:t>
      </w:r>
      <w:r w:rsidR="002173AF">
        <w:t>ase over in-situ stabilised capping</w:t>
      </w:r>
      <w:r w:rsidR="00AF6609">
        <w:t>.</w:t>
      </w:r>
    </w:p>
    <w:p w14:paraId="56B5F7CF" w14:textId="77777777" w:rsidR="002173AF" w:rsidRDefault="00E657F5" w:rsidP="00876477">
      <w:pPr>
        <w:pStyle w:val="BodyText"/>
        <w:numPr>
          <w:ilvl w:val="0"/>
          <w:numId w:val="8"/>
        </w:numPr>
      </w:pPr>
      <w:r>
        <w:t xml:space="preserve">Table </w:t>
      </w:r>
      <w:r w:rsidR="001600FA">
        <w:t>9</w:t>
      </w:r>
      <w:r>
        <w:t xml:space="preserve"> – Unbound sub-base over site won capping</w:t>
      </w:r>
      <w:r w:rsidR="00AF6609">
        <w:t>.</w:t>
      </w:r>
    </w:p>
    <w:p w14:paraId="1DF09565" w14:textId="77777777" w:rsidR="000C43EE" w:rsidRDefault="00E657F5" w:rsidP="002173AF">
      <w:pPr>
        <w:pStyle w:val="BodyText"/>
      </w:pPr>
      <w:r>
        <w:t xml:space="preserve">The </w:t>
      </w:r>
      <w:r w:rsidR="00784516">
        <w:t>preferred</w:t>
      </w:r>
      <w:r>
        <w:t xml:space="preserve"> option will be that which minimises virgin material use and minimises vehicle movements.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1163"/>
        <w:gridCol w:w="1218"/>
        <w:gridCol w:w="1219"/>
        <w:gridCol w:w="1361"/>
      </w:tblGrid>
      <w:tr w:rsidR="00B933CA" w14:paraId="275C7881" w14:textId="77777777" w:rsidTr="00180745">
        <w:tc>
          <w:tcPr>
            <w:tcW w:w="3369" w:type="dxa"/>
            <w:shd w:val="clear" w:color="auto" w:fill="B4C6E7"/>
          </w:tcPr>
          <w:p w14:paraId="31A00B53" w14:textId="77777777" w:rsidR="003661B9" w:rsidRPr="00545EB1" w:rsidRDefault="00E657F5" w:rsidP="00455EF9">
            <w:pPr>
              <w:rPr>
                <w:rFonts w:eastAsia="Cambria" w:cs="Arial"/>
                <w:b/>
                <w:bCs/>
                <w:sz w:val="18"/>
                <w:szCs w:val="18"/>
                <w:lang w:eastAsia="en-GB"/>
              </w:rPr>
            </w:pPr>
            <w:r>
              <w:rPr>
                <w:rFonts w:eastAsia="Cambria" w:cs="Arial"/>
                <w:b/>
                <w:bCs/>
                <w:sz w:val="18"/>
                <w:szCs w:val="18"/>
                <w:lang w:eastAsia="en-GB"/>
              </w:rPr>
              <w:t>Construction traffic (standard axles)</w:t>
            </w:r>
          </w:p>
        </w:tc>
        <w:tc>
          <w:tcPr>
            <w:tcW w:w="992" w:type="dxa"/>
            <w:shd w:val="clear" w:color="auto" w:fill="B4C6E7"/>
          </w:tcPr>
          <w:p w14:paraId="63DF3B81" w14:textId="77777777" w:rsidR="003661B9" w:rsidRPr="00545EB1" w:rsidRDefault="00E657F5" w:rsidP="00455EF9">
            <w:pPr>
              <w:pStyle w:val="Pa23"/>
              <w:jc w:val="both"/>
              <w:rPr>
                <w:rFonts w:ascii="Arial" w:hAnsi="Arial" w:cs="Arial"/>
                <w:b/>
                <w:bCs/>
                <w:sz w:val="18"/>
                <w:szCs w:val="18"/>
              </w:rPr>
            </w:pPr>
            <w:r>
              <w:rPr>
                <w:rFonts w:ascii="Arial" w:hAnsi="Arial" w:cs="Arial"/>
                <w:b/>
                <w:bCs/>
                <w:color w:val="000000"/>
                <w:sz w:val="18"/>
                <w:szCs w:val="18"/>
              </w:rPr>
              <w:t>&lt; 50</w:t>
            </w:r>
          </w:p>
        </w:tc>
        <w:tc>
          <w:tcPr>
            <w:tcW w:w="1163" w:type="dxa"/>
            <w:shd w:val="clear" w:color="auto" w:fill="B4C6E7"/>
          </w:tcPr>
          <w:p w14:paraId="05FAA13A" w14:textId="77777777" w:rsidR="003661B9" w:rsidRPr="00545EB1" w:rsidRDefault="00E657F5" w:rsidP="00455EF9">
            <w:pPr>
              <w:pStyle w:val="Pa23"/>
              <w:jc w:val="both"/>
              <w:rPr>
                <w:rFonts w:ascii="Arial" w:hAnsi="Arial" w:cs="Arial"/>
                <w:b/>
                <w:bCs/>
                <w:sz w:val="18"/>
                <w:szCs w:val="18"/>
              </w:rPr>
            </w:pPr>
            <w:r>
              <w:rPr>
                <w:rFonts w:ascii="Arial" w:hAnsi="Arial" w:cs="Arial"/>
                <w:b/>
                <w:bCs/>
                <w:color w:val="000000"/>
                <w:sz w:val="18"/>
                <w:szCs w:val="18"/>
              </w:rPr>
              <w:t>50 - 200</w:t>
            </w:r>
          </w:p>
          <w:p w14:paraId="7B07EDFB" w14:textId="77777777" w:rsidR="003661B9" w:rsidRPr="00545EB1" w:rsidRDefault="003661B9" w:rsidP="00455EF9">
            <w:pPr>
              <w:rPr>
                <w:rFonts w:cs="Arial"/>
                <w:b/>
                <w:bCs/>
                <w:sz w:val="18"/>
                <w:szCs w:val="18"/>
                <w:lang w:eastAsia="en-GB"/>
              </w:rPr>
            </w:pPr>
          </w:p>
        </w:tc>
        <w:tc>
          <w:tcPr>
            <w:tcW w:w="1218" w:type="dxa"/>
            <w:shd w:val="clear" w:color="auto" w:fill="B4C6E7"/>
          </w:tcPr>
          <w:p w14:paraId="7A41B40F" w14:textId="77777777" w:rsidR="003661B9" w:rsidRPr="00545EB1" w:rsidRDefault="00E657F5" w:rsidP="00455EF9">
            <w:pPr>
              <w:pStyle w:val="Pa23"/>
              <w:jc w:val="both"/>
              <w:rPr>
                <w:rFonts w:ascii="Arial" w:hAnsi="Arial" w:cs="Arial"/>
                <w:b/>
                <w:bCs/>
                <w:sz w:val="18"/>
                <w:szCs w:val="18"/>
              </w:rPr>
            </w:pPr>
            <w:r>
              <w:rPr>
                <w:rFonts w:ascii="Arial" w:hAnsi="Arial" w:cs="Arial"/>
                <w:b/>
                <w:bCs/>
                <w:color w:val="000000"/>
                <w:sz w:val="18"/>
                <w:szCs w:val="18"/>
              </w:rPr>
              <w:t>201 – 500</w:t>
            </w:r>
          </w:p>
          <w:p w14:paraId="45A5A9A5" w14:textId="77777777" w:rsidR="003661B9" w:rsidRPr="00545EB1" w:rsidRDefault="003661B9" w:rsidP="00455EF9">
            <w:pPr>
              <w:rPr>
                <w:rFonts w:cs="Arial"/>
                <w:b/>
                <w:bCs/>
                <w:sz w:val="18"/>
                <w:szCs w:val="18"/>
                <w:lang w:eastAsia="en-GB"/>
              </w:rPr>
            </w:pPr>
          </w:p>
        </w:tc>
        <w:tc>
          <w:tcPr>
            <w:tcW w:w="1219" w:type="dxa"/>
            <w:shd w:val="clear" w:color="auto" w:fill="B4C6E7"/>
          </w:tcPr>
          <w:p w14:paraId="7F6A0511" w14:textId="77777777" w:rsidR="003661B9" w:rsidRPr="00545EB1" w:rsidRDefault="00E657F5" w:rsidP="00455EF9">
            <w:pPr>
              <w:pStyle w:val="Pa23"/>
              <w:jc w:val="both"/>
              <w:rPr>
                <w:rFonts w:ascii="Arial" w:hAnsi="Arial" w:cs="Arial"/>
                <w:b/>
                <w:bCs/>
                <w:sz w:val="18"/>
                <w:szCs w:val="18"/>
              </w:rPr>
            </w:pPr>
            <w:r>
              <w:rPr>
                <w:rFonts w:ascii="Arial" w:hAnsi="Arial" w:cs="Arial"/>
                <w:b/>
                <w:bCs/>
                <w:color w:val="000000"/>
                <w:sz w:val="18"/>
                <w:szCs w:val="18"/>
              </w:rPr>
              <w:t>501 – 2000</w:t>
            </w:r>
          </w:p>
          <w:p w14:paraId="21514D1F" w14:textId="77777777" w:rsidR="003661B9" w:rsidRPr="00545EB1" w:rsidRDefault="003661B9" w:rsidP="00455EF9">
            <w:pPr>
              <w:rPr>
                <w:rFonts w:cs="Arial"/>
                <w:b/>
                <w:bCs/>
                <w:sz w:val="18"/>
                <w:szCs w:val="18"/>
                <w:lang w:eastAsia="en-GB"/>
              </w:rPr>
            </w:pPr>
          </w:p>
        </w:tc>
        <w:tc>
          <w:tcPr>
            <w:tcW w:w="1361" w:type="dxa"/>
            <w:shd w:val="clear" w:color="auto" w:fill="B4C6E7"/>
          </w:tcPr>
          <w:p w14:paraId="47086020" w14:textId="77777777" w:rsidR="003661B9" w:rsidRPr="00545EB1" w:rsidRDefault="00E657F5" w:rsidP="00455EF9">
            <w:pPr>
              <w:pStyle w:val="Pa23"/>
              <w:jc w:val="both"/>
              <w:rPr>
                <w:rFonts w:ascii="Arial" w:hAnsi="Arial" w:cs="Arial"/>
                <w:b/>
                <w:bCs/>
                <w:color w:val="000000"/>
                <w:sz w:val="18"/>
                <w:szCs w:val="18"/>
              </w:rPr>
            </w:pPr>
            <w:r>
              <w:rPr>
                <w:rFonts w:ascii="Arial" w:hAnsi="Arial" w:cs="Arial"/>
                <w:b/>
                <w:bCs/>
                <w:color w:val="000000"/>
                <w:sz w:val="18"/>
                <w:szCs w:val="18"/>
              </w:rPr>
              <w:t>&gt; 2000</w:t>
            </w:r>
          </w:p>
        </w:tc>
      </w:tr>
      <w:tr w:rsidR="00B933CA" w14:paraId="35EB4DAD" w14:textId="77777777" w:rsidTr="00180745">
        <w:tc>
          <w:tcPr>
            <w:tcW w:w="3369" w:type="dxa"/>
            <w:shd w:val="clear" w:color="auto" w:fill="B4C6E7"/>
          </w:tcPr>
          <w:p w14:paraId="2187AE47" w14:textId="77777777" w:rsidR="003661B9" w:rsidRPr="00545EB1" w:rsidRDefault="00E657F5" w:rsidP="00455EF9">
            <w:pPr>
              <w:rPr>
                <w:rFonts w:eastAsia="Cambria" w:cs="Arial"/>
                <w:b/>
                <w:bCs/>
                <w:sz w:val="18"/>
                <w:szCs w:val="18"/>
                <w:lang w:eastAsia="en-GB"/>
              </w:rPr>
            </w:pPr>
            <w:r>
              <w:rPr>
                <w:rFonts w:eastAsia="Cambria" w:cs="Arial"/>
                <w:b/>
                <w:bCs/>
                <w:sz w:val="18"/>
                <w:szCs w:val="18"/>
                <w:lang w:eastAsia="en-GB"/>
              </w:rPr>
              <w:t xml:space="preserve">Illustrative size of development </w:t>
            </w:r>
          </w:p>
        </w:tc>
        <w:tc>
          <w:tcPr>
            <w:tcW w:w="992" w:type="dxa"/>
            <w:tcBorders>
              <w:bottom w:val="single" w:sz="4" w:space="0" w:color="auto"/>
            </w:tcBorders>
            <w:shd w:val="clear" w:color="auto" w:fill="B4C6E7"/>
          </w:tcPr>
          <w:p w14:paraId="6D35A338" w14:textId="77777777" w:rsidR="003661B9" w:rsidRPr="00545EB1" w:rsidRDefault="00E657F5" w:rsidP="00455EF9">
            <w:pPr>
              <w:rPr>
                <w:rFonts w:eastAsia="Cambria" w:cs="Arial"/>
                <w:sz w:val="18"/>
                <w:szCs w:val="18"/>
                <w:lang w:eastAsia="en-GB"/>
              </w:rPr>
            </w:pPr>
            <w:r>
              <w:rPr>
                <w:rFonts w:eastAsia="Cambria" w:cs="Arial"/>
                <w:sz w:val="18"/>
                <w:szCs w:val="18"/>
                <w:lang w:eastAsia="en-GB"/>
              </w:rPr>
              <w:t>Up to 4 dwellings</w:t>
            </w:r>
          </w:p>
        </w:tc>
        <w:tc>
          <w:tcPr>
            <w:tcW w:w="1163" w:type="dxa"/>
            <w:tcBorders>
              <w:bottom w:val="single" w:sz="4" w:space="0" w:color="auto"/>
            </w:tcBorders>
            <w:shd w:val="clear" w:color="auto" w:fill="B4C6E7"/>
          </w:tcPr>
          <w:p w14:paraId="3DC39BD9" w14:textId="77777777" w:rsidR="003661B9" w:rsidRPr="003C244A" w:rsidRDefault="00E657F5" w:rsidP="00455EF9">
            <w:pPr>
              <w:rPr>
                <w:rFonts w:eastAsia="Cambria" w:cs="Arial"/>
                <w:sz w:val="18"/>
                <w:szCs w:val="18"/>
                <w:lang w:eastAsia="en-GB"/>
              </w:rPr>
            </w:pPr>
            <w:r>
              <w:rPr>
                <w:rFonts w:eastAsia="Cambria" w:cs="Arial"/>
                <w:sz w:val="18"/>
                <w:szCs w:val="18"/>
                <w:lang w:eastAsia="en-GB"/>
              </w:rPr>
              <w:t>Up to 20 dwellings or 2000m</w:t>
            </w:r>
            <w:r w:rsidRPr="003C244A">
              <w:rPr>
                <w:rFonts w:eastAsia="Cambria" w:cs="Arial"/>
                <w:sz w:val="18"/>
                <w:szCs w:val="18"/>
                <w:vertAlign w:val="superscript"/>
                <w:lang w:eastAsia="en-GB"/>
              </w:rPr>
              <w:t>2</w:t>
            </w:r>
            <w:r>
              <w:rPr>
                <w:rFonts w:eastAsia="Cambria" w:cs="Arial"/>
                <w:sz w:val="18"/>
                <w:szCs w:val="18"/>
                <w:lang w:eastAsia="en-GB"/>
              </w:rPr>
              <w:t xml:space="preserve"> commercial property</w:t>
            </w:r>
          </w:p>
        </w:tc>
        <w:tc>
          <w:tcPr>
            <w:tcW w:w="1218" w:type="dxa"/>
            <w:tcBorders>
              <w:bottom w:val="single" w:sz="4" w:space="0" w:color="auto"/>
            </w:tcBorders>
            <w:shd w:val="clear" w:color="auto" w:fill="B4C6E7"/>
          </w:tcPr>
          <w:p w14:paraId="143E9B18" w14:textId="77777777" w:rsidR="003661B9" w:rsidRPr="003C244A" w:rsidRDefault="00E657F5" w:rsidP="00455EF9">
            <w:pPr>
              <w:rPr>
                <w:rFonts w:eastAsia="Cambria" w:cs="Arial"/>
                <w:sz w:val="18"/>
                <w:szCs w:val="18"/>
                <w:lang w:eastAsia="en-GB"/>
              </w:rPr>
            </w:pPr>
            <w:r>
              <w:rPr>
                <w:rFonts w:eastAsia="Cambria" w:cs="Arial"/>
                <w:sz w:val="18"/>
                <w:szCs w:val="18"/>
                <w:lang w:eastAsia="en-GB"/>
              </w:rPr>
              <w:t>Up to 50 dwellings or 5000m</w:t>
            </w:r>
            <w:r>
              <w:rPr>
                <w:rFonts w:eastAsia="Cambria" w:cs="Arial"/>
                <w:sz w:val="18"/>
                <w:szCs w:val="18"/>
                <w:vertAlign w:val="superscript"/>
                <w:lang w:eastAsia="en-GB"/>
              </w:rPr>
              <w:t>2</w:t>
            </w:r>
            <w:r>
              <w:rPr>
                <w:rFonts w:eastAsia="Cambria" w:cs="Arial"/>
                <w:sz w:val="18"/>
                <w:szCs w:val="18"/>
                <w:lang w:eastAsia="en-GB"/>
              </w:rPr>
              <w:t xml:space="preserve"> commercial property</w:t>
            </w:r>
          </w:p>
        </w:tc>
        <w:tc>
          <w:tcPr>
            <w:tcW w:w="1219" w:type="dxa"/>
            <w:tcBorders>
              <w:bottom w:val="single" w:sz="4" w:space="0" w:color="auto"/>
            </w:tcBorders>
            <w:shd w:val="clear" w:color="auto" w:fill="B4C6E7"/>
          </w:tcPr>
          <w:p w14:paraId="40D0913B" w14:textId="77777777" w:rsidR="003661B9" w:rsidRPr="00545EB1" w:rsidRDefault="00E657F5" w:rsidP="00455EF9">
            <w:pPr>
              <w:rPr>
                <w:rFonts w:eastAsia="Cambria" w:cs="Arial"/>
                <w:sz w:val="18"/>
                <w:szCs w:val="18"/>
                <w:lang w:eastAsia="en-GB"/>
              </w:rPr>
            </w:pPr>
            <w:r>
              <w:rPr>
                <w:rFonts w:eastAsia="Cambria" w:cs="Arial"/>
                <w:sz w:val="18"/>
                <w:szCs w:val="18"/>
                <w:lang w:eastAsia="en-GB"/>
              </w:rPr>
              <w:t>-</w:t>
            </w:r>
          </w:p>
        </w:tc>
        <w:tc>
          <w:tcPr>
            <w:tcW w:w="1361" w:type="dxa"/>
            <w:tcBorders>
              <w:bottom w:val="single" w:sz="4" w:space="0" w:color="auto"/>
            </w:tcBorders>
            <w:shd w:val="clear" w:color="auto" w:fill="B4C6E7"/>
          </w:tcPr>
          <w:p w14:paraId="1C60500A" w14:textId="77777777" w:rsidR="003661B9" w:rsidRPr="00545EB1" w:rsidRDefault="00E657F5" w:rsidP="00455EF9">
            <w:pPr>
              <w:rPr>
                <w:rFonts w:eastAsia="Cambria" w:cs="Arial"/>
                <w:sz w:val="18"/>
                <w:szCs w:val="18"/>
                <w:lang w:eastAsia="en-GB"/>
              </w:rPr>
            </w:pPr>
            <w:r>
              <w:rPr>
                <w:rFonts w:eastAsia="Cambria" w:cs="Arial"/>
                <w:sz w:val="18"/>
                <w:szCs w:val="18"/>
                <w:lang w:eastAsia="en-GB"/>
              </w:rPr>
              <w:t>Large development</w:t>
            </w:r>
          </w:p>
        </w:tc>
      </w:tr>
      <w:tr w:rsidR="00B933CA" w14:paraId="214F97BD" w14:textId="77777777" w:rsidTr="002F2B15">
        <w:tc>
          <w:tcPr>
            <w:tcW w:w="3369" w:type="dxa"/>
            <w:shd w:val="clear" w:color="auto" w:fill="B4C6E7"/>
          </w:tcPr>
          <w:p w14:paraId="1F0FA89C" w14:textId="77777777" w:rsidR="003661B9" w:rsidRPr="00545EB1" w:rsidRDefault="00E657F5" w:rsidP="00455EF9">
            <w:pPr>
              <w:rPr>
                <w:rFonts w:eastAsia="Cambria" w:cs="Arial"/>
                <w:b/>
                <w:bCs/>
                <w:sz w:val="18"/>
                <w:szCs w:val="18"/>
                <w:lang w:eastAsia="en-GB"/>
              </w:rPr>
            </w:pPr>
            <w:r>
              <w:rPr>
                <w:rFonts w:eastAsia="Cambria" w:cs="Arial"/>
                <w:b/>
                <w:bCs/>
                <w:sz w:val="18"/>
                <w:szCs w:val="18"/>
                <w:lang w:eastAsia="en-GB"/>
              </w:rPr>
              <w:t>Subgrade CBR &lt;2%</w:t>
            </w:r>
          </w:p>
        </w:tc>
        <w:tc>
          <w:tcPr>
            <w:tcW w:w="5953" w:type="dxa"/>
            <w:gridSpan w:val="5"/>
            <w:shd w:val="clear" w:color="auto" w:fill="FBE4D5"/>
          </w:tcPr>
          <w:p w14:paraId="36C43C71" w14:textId="77777777" w:rsidR="003661B9" w:rsidRPr="00545EB1" w:rsidRDefault="00E657F5" w:rsidP="00455EF9">
            <w:pPr>
              <w:rPr>
                <w:rFonts w:eastAsia="Cambria" w:cs="Arial"/>
                <w:sz w:val="18"/>
                <w:szCs w:val="18"/>
                <w:lang w:eastAsia="en-GB"/>
              </w:rPr>
            </w:pPr>
            <w:r>
              <w:rPr>
                <w:rFonts w:eastAsia="Cambria" w:cs="Arial"/>
                <w:sz w:val="18"/>
                <w:szCs w:val="18"/>
                <w:lang w:eastAsia="en-GB"/>
              </w:rPr>
              <w:t>Ground improvement will be necessary</w:t>
            </w:r>
          </w:p>
        </w:tc>
      </w:tr>
      <w:tr w:rsidR="00B933CA" w14:paraId="3EBD6B43" w14:textId="77777777" w:rsidTr="00180745">
        <w:tc>
          <w:tcPr>
            <w:tcW w:w="3369" w:type="dxa"/>
            <w:shd w:val="clear" w:color="auto" w:fill="B4C6E7"/>
          </w:tcPr>
          <w:p w14:paraId="057CFB97" w14:textId="77777777" w:rsidR="003661B9" w:rsidRPr="00545EB1" w:rsidRDefault="00E657F5" w:rsidP="00455EF9">
            <w:pPr>
              <w:rPr>
                <w:rFonts w:eastAsia="Cambria" w:cs="Arial"/>
                <w:b/>
                <w:bCs/>
                <w:sz w:val="18"/>
                <w:szCs w:val="18"/>
                <w:lang w:eastAsia="en-GB"/>
              </w:rPr>
            </w:pPr>
            <w:r>
              <w:rPr>
                <w:rFonts w:eastAsia="Cambria" w:cs="Arial"/>
                <w:b/>
                <w:bCs/>
                <w:sz w:val="18"/>
                <w:szCs w:val="18"/>
                <w:lang w:eastAsia="en-GB"/>
              </w:rPr>
              <w:t>Subgrade CBR 2 to 3% (typically high plasticity heavy clay subgrade)</w:t>
            </w:r>
          </w:p>
        </w:tc>
        <w:tc>
          <w:tcPr>
            <w:tcW w:w="992" w:type="dxa"/>
            <w:shd w:val="clear" w:color="auto" w:fill="FBE4D5"/>
          </w:tcPr>
          <w:p w14:paraId="26CC7FBD" w14:textId="77777777" w:rsidR="003661B9" w:rsidRPr="00545EB1" w:rsidRDefault="00E657F5" w:rsidP="00455EF9">
            <w:pPr>
              <w:rPr>
                <w:rFonts w:eastAsia="Cambria" w:cs="Arial"/>
                <w:sz w:val="18"/>
                <w:szCs w:val="18"/>
                <w:lang w:eastAsia="en-GB"/>
              </w:rPr>
            </w:pPr>
            <w:r>
              <w:rPr>
                <w:rFonts w:eastAsia="Cambria" w:cs="Arial"/>
                <w:sz w:val="18"/>
                <w:szCs w:val="18"/>
                <w:lang w:eastAsia="en-GB"/>
              </w:rPr>
              <w:t>300 mm</w:t>
            </w:r>
          </w:p>
        </w:tc>
        <w:tc>
          <w:tcPr>
            <w:tcW w:w="1163" w:type="dxa"/>
            <w:shd w:val="clear" w:color="auto" w:fill="FBE4D5"/>
          </w:tcPr>
          <w:p w14:paraId="0E4D2BC3" w14:textId="77777777" w:rsidR="003661B9" w:rsidRPr="00545EB1" w:rsidRDefault="00E657F5" w:rsidP="00455EF9">
            <w:pPr>
              <w:rPr>
                <w:rFonts w:eastAsia="Cambria" w:cs="Arial"/>
                <w:sz w:val="18"/>
                <w:szCs w:val="18"/>
                <w:lang w:eastAsia="en-GB"/>
              </w:rPr>
            </w:pPr>
            <w:r>
              <w:rPr>
                <w:rFonts w:eastAsia="Cambria" w:cs="Arial"/>
                <w:sz w:val="18"/>
                <w:szCs w:val="18"/>
                <w:lang w:eastAsia="en-GB"/>
              </w:rPr>
              <w:t>350 mm</w:t>
            </w:r>
          </w:p>
        </w:tc>
        <w:tc>
          <w:tcPr>
            <w:tcW w:w="1218" w:type="dxa"/>
            <w:shd w:val="clear" w:color="auto" w:fill="FBE4D5"/>
          </w:tcPr>
          <w:p w14:paraId="419490DC" w14:textId="77777777" w:rsidR="003661B9" w:rsidRPr="00545EB1" w:rsidRDefault="00E657F5" w:rsidP="00455EF9">
            <w:pPr>
              <w:rPr>
                <w:rFonts w:eastAsia="Cambria" w:cs="Arial"/>
                <w:sz w:val="18"/>
                <w:szCs w:val="18"/>
                <w:lang w:eastAsia="en-GB"/>
              </w:rPr>
            </w:pPr>
            <w:r>
              <w:rPr>
                <w:rFonts w:eastAsia="Cambria" w:cs="Arial"/>
                <w:sz w:val="18"/>
                <w:szCs w:val="18"/>
                <w:lang w:eastAsia="en-GB"/>
              </w:rPr>
              <w:t>400 mm</w:t>
            </w:r>
          </w:p>
        </w:tc>
        <w:tc>
          <w:tcPr>
            <w:tcW w:w="1219" w:type="dxa"/>
            <w:shd w:val="clear" w:color="auto" w:fill="FBE4D5"/>
          </w:tcPr>
          <w:p w14:paraId="7B862A86" w14:textId="77777777" w:rsidR="003661B9" w:rsidRPr="00545EB1" w:rsidRDefault="00E657F5" w:rsidP="00455EF9">
            <w:pPr>
              <w:rPr>
                <w:rFonts w:eastAsia="Cambria" w:cs="Arial"/>
                <w:sz w:val="18"/>
                <w:szCs w:val="18"/>
                <w:lang w:eastAsia="en-GB"/>
              </w:rPr>
            </w:pPr>
            <w:r>
              <w:rPr>
                <w:rFonts w:eastAsia="Cambria" w:cs="Arial"/>
                <w:sz w:val="18"/>
                <w:szCs w:val="18"/>
                <w:lang w:eastAsia="en-GB"/>
              </w:rPr>
              <w:t>450 mm</w:t>
            </w:r>
          </w:p>
        </w:tc>
        <w:tc>
          <w:tcPr>
            <w:tcW w:w="1361" w:type="dxa"/>
            <w:shd w:val="clear" w:color="auto" w:fill="FBE4D5"/>
          </w:tcPr>
          <w:p w14:paraId="651A5861" w14:textId="77777777" w:rsidR="003661B9" w:rsidRPr="00545EB1" w:rsidRDefault="00E657F5" w:rsidP="00455EF9">
            <w:pPr>
              <w:rPr>
                <w:rFonts w:eastAsia="Cambria" w:cs="Arial"/>
                <w:sz w:val="18"/>
                <w:szCs w:val="18"/>
                <w:lang w:eastAsia="en-GB"/>
              </w:rPr>
            </w:pPr>
            <w:r>
              <w:rPr>
                <w:rFonts w:eastAsia="Cambria" w:cs="Arial"/>
                <w:sz w:val="18"/>
                <w:szCs w:val="18"/>
                <w:lang w:eastAsia="en-GB"/>
              </w:rPr>
              <w:t>500 mm</w:t>
            </w:r>
          </w:p>
        </w:tc>
      </w:tr>
      <w:tr w:rsidR="00B933CA" w14:paraId="01D3792F" w14:textId="77777777" w:rsidTr="00180745">
        <w:tc>
          <w:tcPr>
            <w:tcW w:w="3369" w:type="dxa"/>
            <w:shd w:val="clear" w:color="auto" w:fill="B4C6E7"/>
          </w:tcPr>
          <w:p w14:paraId="03C8C402" w14:textId="77777777" w:rsidR="003661B9" w:rsidRPr="00545EB1" w:rsidRDefault="00E657F5" w:rsidP="00455EF9">
            <w:pPr>
              <w:rPr>
                <w:rFonts w:eastAsia="Cambria" w:cs="Arial"/>
                <w:b/>
                <w:bCs/>
                <w:sz w:val="18"/>
                <w:szCs w:val="18"/>
                <w:lang w:eastAsia="en-GB"/>
              </w:rPr>
            </w:pPr>
            <w:r>
              <w:rPr>
                <w:rFonts w:eastAsia="Cambria" w:cs="Arial"/>
                <w:b/>
                <w:bCs/>
                <w:sz w:val="18"/>
                <w:szCs w:val="18"/>
                <w:lang w:eastAsia="en-GB"/>
              </w:rPr>
              <w:t>Subgrade CBR &gt;3 to 5% (typically medium plasticity clay subgrade)</w:t>
            </w:r>
          </w:p>
        </w:tc>
        <w:tc>
          <w:tcPr>
            <w:tcW w:w="992" w:type="dxa"/>
            <w:shd w:val="clear" w:color="auto" w:fill="FBE4D5"/>
          </w:tcPr>
          <w:p w14:paraId="48142BF6" w14:textId="77777777" w:rsidR="003661B9" w:rsidRPr="003C244A" w:rsidRDefault="00E657F5" w:rsidP="00455EF9">
            <w:pPr>
              <w:rPr>
                <w:rFonts w:eastAsia="Cambria" w:cs="Arial"/>
                <w:sz w:val="18"/>
                <w:szCs w:val="18"/>
                <w:lang w:eastAsia="en-GB"/>
              </w:rPr>
            </w:pPr>
            <w:r w:rsidRPr="003C244A">
              <w:rPr>
                <w:rFonts w:eastAsia="Cambria" w:cs="Arial"/>
                <w:sz w:val="18"/>
                <w:szCs w:val="18"/>
                <w:lang w:eastAsia="en-GB"/>
              </w:rPr>
              <w:t>250 mm</w:t>
            </w:r>
          </w:p>
        </w:tc>
        <w:tc>
          <w:tcPr>
            <w:tcW w:w="1163" w:type="dxa"/>
            <w:shd w:val="clear" w:color="auto" w:fill="FBE4D5"/>
          </w:tcPr>
          <w:p w14:paraId="48E74ECA" w14:textId="77777777" w:rsidR="003661B9" w:rsidRPr="003C244A" w:rsidRDefault="00E657F5" w:rsidP="00455EF9">
            <w:pPr>
              <w:rPr>
                <w:rFonts w:eastAsia="Cambria" w:cs="Arial"/>
                <w:sz w:val="18"/>
                <w:szCs w:val="18"/>
                <w:lang w:eastAsia="en-GB"/>
              </w:rPr>
            </w:pPr>
            <w:r>
              <w:rPr>
                <w:rFonts w:eastAsia="Cambria" w:cs="Arial"/>
                <w:sz w:val="18"/>
                <w:szCs w:val="18"/>
                <w:lang w:eastAsia="en-GB"/>
              </w:rPr>
              <w:t>275 mm</w:t>
            </w:r>
          </w:p>
        </w:tc>
        <w:tc>
          <w:tcPr>
            <w:tcW w:w="1218" w:type="dxa"/>
            <w:shd w:val="clear" w:color="auto" w:fill="FBE4D5"/>
          </w:tcPr>
          <w:p w14:paraId="6CC66DBA" w14:textId="77777777" w:rsidR="003661B9" w:rsidRPr="003C244A" w:rsidRDefault="00E657F5" w:rsidP="00455EF9">
            <w:pPr>
              <w:rPr>
                <w:rFonts w:eastAsia="Cambria" w:cs="Arial"/>
                <w:sz w:val="18"/>
                <w:szCs w:val="18"/>
                <w:lang w:eastAsia="en-GB"/>
              </w:rPr>
            </w:pPr>
            <w:r>
              <w:rPr>
                <w:rFonts w:eastAsia="Cambria" w:cs="Arial"/>
                <w:sz w:val="18"/>
                <w:szCs w:val="18"/>
                <w:lang w:eastAsia="en-GB"/>
              </w:rPr>
              <w:t>325 mm</w:t>
            </w:r>
          </w:p>
        </w:tc>
        <w:tc>
          <w:tcPr>
            <w:tcW w:w="1219" w:type="dxa"/>
            <w:shd w:val="clear" w:color="auto" w:fill="FBE4D5"/>
          </w:tcPr>
          <w:p w14:paraId="136C6A51" w14:textId="77777777" w:rsidR="003661B9" w:rsidRPr="003C244A" w:rsidRDefault="00E657F5" w:rsidP="00455EF9">
            <w:pPr>
              <w:rPr>
                <w:rFonts w:eastAsia="Cambria" w:cs="Arial"/>
                <w:sz w:val="18"/>
                <w:szCs w:val="18"/>
                <w:lang w:eastAsia="en-GB"/>
              </w:rPr>
            </w:pPr>
            <w:r>
              <w:rPr>
                <w:rFonts w:eastAsia="Cambria" w:cs="Arial"/>
                <w:sz w:val="18"/>
                <w:szCs w:val="18"/>
                <w:lang w:eastAsia="en-GB"/>
              </w:rPr>
              <w:t>375 mm</w:t>
            </w:r>
          </w:p>
        </w:tc>
        <w:tc>
          <w:tcPr>
            <w:tcW w:w="1361" w:type="dxa"/>
            <w:shd w:val="clear" w:color="auto" w:fill="FBE4D5"/>
          </w:tcPr>
          <w:p w14:paraId="41374EB6" w14:textId="77777777" w:rsidR="003661B9" w:rsidRPr="003C244A" w:rsidRDefault="00E657F5" w:rsidP="00455EF9">
            <w:pPr>
              <w:rPr>
                <w:rFonts w:eastAsia="Cambria" w:cs="Arial"/>
                <w:sz w:val="18"/>
                <w:szCs w:val="18"/>
                <w:lang w:eastAsia="en-GB"/>
              </w:rPr>
            </w:pPr>
            <w:r>
              <w:rPr>
                <w:rFonts w:eastAsia="Cambria" w:cs="Arial"/>
                <w:sz w:val="18"/>
                <w:szCs w:val="18"/>
                <w:lang w:eastAsia="en-GB"/>
              </w:rPr>
              <w:t>425 mm</w:t>
            </w:r>
          </w:p>
        </w:tc>
      </w:tr>
      <w:tr w:rsidR="00B933CA" w14:paraId="07B3C77B" w14:textId="77777777" w:rsidTr="00180745">
        <w:tc>
          <w:tcPr>
            <w:tcW w:w="3369" w:type="dxa"/>
            <w:shd w:val="clear" w:color="auto" w:fill="B4C6E7"/>
          </w:tcPr>
          <w:p w14:paraId="28DCA41E" w14:textId="77777777" w:rsidR="003661B9" w:rsidRPr="00CA356B" w:rsidRDefault="00E657F5" w:rsidP="00455EF9">
            <w:pPr>
              <w:jc w:val="left"/>
              <w:rPr>
                <w:rFonts w:eastAsia="Cambria" w:cs="Arial"/>
                <w:sz w:val="18"/>
                <w:szCs w:val="18"/>
                <w:lang w:eastAsia="en-GB"/>
              </w:rPr>
            </w:pPr>
            <w:r>
              <w:rPr>
                <w:rFonts w:eastAsia="Cambria" w:cs="Arial"/>
                <w:b/>
                <w:bCs/>
                <w:sz w:val="18"/>
                <w:szCs w:val="18"/>
                <w:lang w:eastAsia="en-GB"/>
              </w:rPr>
              <w:t>Subgrade CBR &gt;5 to 7% (typically low plasticity sandy clay subgrade with average/good constructive conditions and low water table assumed – otherwise use row above)</w:t>
            </w:r>
          </w:p>
        </w:tc>
        <w:tc>
          <w:tcPr>
            <w:tcW w:w="992" w:type="dxa"/>
            <w:shd w:val="clear" w:color="auto" w:fill="FBE4D5"/>
          </w:tcPr>
          <w:p w14:paraId="3390D48A" w14:textId="77777777" w:rsidR="003661B9" w:rsidRPr="003C244A" w:rsidRDefault="00E657F5" w:rsidP="00455EF9">
            <w:pPr>
              <w:rPr>
                <w:rFonts w:eastAsia="Cambria" w:cs="Arial"/>
                <w:sz w:val="18"/>
                <w:szCs w:val="18"/>
                <w:lang w:eastAsia="en-GB"/>
              </w:rPr>
            </w:pPr>
            <w:r>
              <w:rPr>
                <w:rFonts w:eastAsia="Cambria" w:cs="Arial"/>
                <w:sz w:val="18"/>
                <w:szCs w:val="18"/>
                <w:lang w:eastAsia="en-GB"/>
              </w:rPr>
              <w:t>225 mm</w:t>
            </w:r>
          </w:p>
        </w:tc>
        <w:tc>
          <w:tcPr>
            <w:tcW w:w="1163" w:type="dxa"/>
            <w:shd w:val="clear" w:color="auto" w:fill="FBE4D5"/>
          </w:tcPr>
          <w:p w14:paraId="5636811B" w14:textId="77777777" w:rsidR="003661B9" w:rsidRPr="003C244A" w:rsidRDefault="00E657F5" w:rsidP="00455EF9">
            <w:pPr>
              <w:rPr>
                <w:rFonts w:eastAsia="Cambria" w:cs="Arial"/>
                <w:sz w:val="18"/>
                <w:szCs w:val="18"/>
                <w:lang w:eastAsia="en-GB"/>
              </w:rPr>
            </w:pPr>
            <w:r>
              <w:rPr>
                <w:rFonts w:eastAsia="Cambria" w:cs="Arial"/>
                <w:sz w:val="18"/>
                <w:szCs w:val="18"/>
                <w:lang w:eastAsia="en-GB"/>
              </w:rPr>
              <w:t>225 mm</w:t>
            </w:r>
          </w:p>
        </w:tc>
        <w:tc>
          <w:tcPr>
            <w:tcW w:w="1218" w:type="dxa"/>
            <w:shd w:val="clear" w:color="auto" w:fill="FBE4D5"/>
          </w:tcPr>
          <w:p w14:paraId="0403D3E3" w14:textId="77777777" w:rsidR="003661B9" w:rsidRPr="003C244A" w:rsidRDefault="00E657F5" w:rsidP="00455EF9">
            <w:pPr>
              <w:rPr>
                <w:rFonts w:eastAsia="Cambria" w:cs="Arial"/>
                <w:sz w:val="18"/>
                <w:szCs w:val="18"/>
                <w:lang w:eastAsia="en-GB"/>
              </w:rPr>
            </w:pPr>
            <w:r>
              <w:rPr>
                <w:rFonts w:eastAsia="Cambria" w:cs="Arial"/>
                <w:sz w:val="18"/>
                <w:szCs w:val="18"/>
                <w:lang w:eastAsia="en-GB"/>
              </w:rPr>
              <w:t>250 mm</w:t>
            </w:r>
          </w:p>
        </w:tc>
        <w:tc>
          <w:tcPr>
            <w:tcW w:w="1219" w:type="dxa"/>
            <w:shd w:val="clear" w:color="auto" w:fill="FBE4D5"/>
          </w:tcPr>
          <w:p w14:paraId="21E44E3C" w14:textId="77777777" w:rsidR="003661B9" w:rsidRPr="003C244A" w:rsidRDefault="00E657F5" w:rsidP="00455EF9">
            <w:pPr>
              <w:rPr>
                <w:rFonts w:eastAsia="Cambria" w:cs="Arial"/>
                <w:sz w:val="18"/>
                <w:szCs w:val="18"/>
                <w:lang w:eastAsia="en-GB"/>
              </w:rPr>
            </w:pPr>
            <w:r>
              <w:rPr>
                <w:rFonts w:eastAsia="Cambria" w:cs="Arial"/>
                <w:sz w:val="18"/>
                <w:szCs w:val="18"/>
                <w:lang w:eastAsia="en-GB"/>
              </w:rPr>
              <w:t>300 mm</w:t>
            </w:r>
          </w:p>
        </w:tc>
        <w:tc>
          <w:tcPr>
            <w:tcW w:w="1361" w:type="dxa"/>
            <w:shd w:val="clear" w:color="auto" w:fill="FBE4D5"/>
          </w:tcPr>
          <w:p w14:paraId="4E9A1210" w14:textId="77777777" w:rsidR="003661B9" w:rsidRPr="003C244A" w:rsidRDefault="00E657F5" w:rsidP="00455EF9">
            <w:pPr>
              <w:rPr>
                <w:rFonts w:eastAsia="Cambria" w:cs="Arial"/>
                <w:sz w:val="18"/>
                <w:szCs w:val="18"/>
                <w:lang w:eastAsia="en-GB"/>
              </w:rPr>
            </w:pPr>
            <w:r>
              <w:rPr>
                <w:rFonts w:eastAsia="Cambria" w:cs="Arial"/>
                <w:sz w:val="18"/>
                <w:szCs w:val="18"/>
                <w:lang w:eastAsia="en-GB"/>
              </w:rPr>
              <w:t>350 mm</w:t>
            </w:r>
          </w:p>
        </w:tc>
      </w:tr>
      <w:tr w:rsidR="00B933CA" w14:paraId="08A3AA57" w14:textId="77777777" w:rsidTr="00180745">
        <w:tc>
          <w:tcPr>
            <w:tcW w:w="3369" w:type="dxa"/>
            <w:shd w:val="clear" w:color="auto" w:fill="B4C6E7"/>
          </w:tcPr>
          <w:p w14:paraId="16F88118" w14:textId="77777777" w:rsidR="003661B9" w:rsidRPr="00545EB1" w:rsidRDefault="00E657F5" w:rsidP="00455EF9">
            <w:pPr>
              <w:jc w:val="left"/>
              <w:rPr>
                <w:rFonts w:eastAsia="Cambria" w:cs="Arial"/>
                <w:b/>
                <w:bCs/>
                <w:sz w:val="18"/>
                <w:szCs w:val="18"/>
                <w:lang w:eastAsia="en-GB"/>
              </w:rPr>
            </w:pPr>
            <w:r>
              <w:rPr>
                <w:rFonts w:eastAsia="Cambria" w:cs="Arial"/>
                <w:b/>
                <w:bCs/>
                <w:sz w:val="18"/>
                <w:szCs w:val="18"/>
                <w:lang w:eastAsia="en-GB"/>
              </w:rPr>
              <w:t>Subgrade CBR &gt;7 to 14% (typically sandy subgrade)</w:t>
            </w:r>
          </w:p>
        </w:tc>
        <w:tc>
          <w:tcPr>
            <w:tcW w:w="992" w:type="dxa"/>
            <w:shd w:val="clear" w:color="auto" w:fill="FBE4D5"/>
          </w:tcPr>
          <w:p w14:paraId="567D2D2A" w14:textId="77777777" w:rsidR="003661B9" w:rsidRPr="003C244A" w:rsidRDefault="00E657F5" w:rsidP="00455EF9">
            <w:pPr>
              <w:rPr>
                <w:rFonts w:eastAsia="Cambria" w:cs="Arial"/>
                <w:sz w:val="18"/>
                <w:szCs w:val="18"/>
                <w:lang w:eastAsia="en-GB"/>
              </w:rPr>
            </w:pPr>
            <w:r>
              <w:rPr>
                <w:rFonts w:eastAsia="Cambria" w:cs="Arial"/>
                <w:sz w:val="18"/>
                <w:szCs w:val="18"/>
                <w:lang w:eastAsia="en-GB"/>
              </w:rPr>
              <w:t>225 mm</w:t>
            </w:r>
          </w:p>
        </w:tc>
        <w:tc>
          <w:tcPr>
            <w:tcW w:w="1163" w:type="dxa"/>
            <w:shd w:val="clear" w:color="auto" w:fill="FBE4D5"/>
          </w:tcPr>
          <w:p w14:paraId="1B3A8DFC" w14:textId="77777777" w:rsidR="003661B9" w:rsidRPr="003C244A" w:rsidRDefault="00E657F5" w:rsidP="00455EF9">
            <w:pPr>
              <w:rPr>
                <w:rFonts w:eastAsia="Cambria" w:cs="Arial"/>
                <w:sz w:val="18"/>
                <w:szCs w:val="18"/>
                <w:lang w:eastAsia="en-GB"/>
              </w:rPr>
            </w:pPr>
            <w:r>
              <w:rPr>
                <w:rFonts w:eastAsia="Cambria" w:cs="Arial"/>
                <w:sz w:val="18"/>
                <w:szCs w:val="18"/>
                <w:lang w:eastAsia="en-GB"/>
              </w:rPr>
              <w:t>225 mm</w:t>
            </w:r>
          </w:p>
        </w:tc>
        <w:tc>
          <w:tcPr>
            <w:tcW w:w="1218" w:type="dxa"/>
            <w:shd w:val="clear" w:color="auto" w:fill="FBE4D5"/>
          </w:tcPr>
          <w:p w14:paraId="3065BB57" w14:textId="77777777" w:rsidR="003661B9" w:rsidRPr="003C244A" w:rsidRDefault="00E657F5" w:rsidP="00455EF9">
            <w:pPr>
              <w:rPr>
                <w:rFonts w:eastAsia="Cambria" w:cs="Arial"/>
                <w:sz w:val="18"/>
                <w:szCs w:val="18"/>
                <w:lang w:eastAsia="en-GB"/>
              </w:rPr>
            </w:pPr>
            <w:r>
              <w:rPr>
                <w:rFonts w:eastAsia="Cambria" w:cs="Arial"/>
                <w:sz w:val="18"/>
                <w:szCs w:val="18"/>
                <w:lang w:eastAsia="en-GB"/>
              </w:rPr>
              <w:t>225 mm</w:t>
            </w:r>
          </w:p>
        </w:tc>
        <w:tc>
          <w:tcPr>
            <w:tcW w:w="1219" w:type="dxa"/>
            <w:shd w:val="clear" w:color="auto" w:fill="FBE4D5"/>
          </w:tcPr>
          <w:p w14:paraId="49D0B453" w14:textId="77777777" w:rsidR="003661B9" w:rsidRPr="003C244A" w:rsidRDefault="00E657F5" w:rsidP="00455EF9">
            <w:pPr>
              <w:rPr>
                <w:rFonts w:eastAsia="Cambria" w:cs="Arial"/>
                <w:sz w:val="18"/>
                <w:szCs w:val="18"/>
                <w:lang w:eastAsia="en-GB"/>
              </w:rPr>
            </w:pPr>
            <w:r>
              <w:rPr>
                <w:rFonts w:eastAsia="Cambria" w:cs="Arial"/>
                <w:sz w:val="18"/>
                <w:szCs w:val="18"/>
                <w:lang w:eastAsia="en-GB"/>
              </w:rPr>
              <w:t>225 mm</w:t>
            </w:r>
          </w:p>
        </w:tc>
        <w:tc>
          <w:tcPr>
            <w:tcW w:w="1361" w:type="dxa"/>
            <w:shd w:val="clear" w:color="auto" w:fill="FBE4D5"/>
          </w:tcPr>
          <w:p w14:paraId="66A2A513" w14:textId="77777777" w:rsidR="003661B9" w:rsidRPr="003C244A" w:rsidRDefault="00E657F5" w:rsidP="00455EF9">
            <w:pPr>
              <w:rPr>
                <w:rFonts w:eastAsia="Cambria" w:cs="Arial"/>
                <w:sz w:val="18"/>
                <w:szCs w:val="18"/>
                <w:lang w:eastAsia="en-GB"/>
              </w:rPr>
            </w:pPr>
            <w:r>
              <w:rPr>
                <w:rFonts w:eastAsia="Cambria" w:cs="Arial"/>
                <w:sz w:val="18"/>
                <w:szCs w:val="18"/>
                <w:lang w:eastAsia="en-GB"/>
              </w:rPr>
              <w:t>275 mm</w:t>
            </w:r>
          </w:p>
        </w:tc>
      </w:tr>
      <w:tr w:rsidR="00B933CA" w14:paraId="294D6F0B" w14:textId="77777777" w:rsidTr="00180745">
        <w:tc>
          <w:tcPr>
            <w:tcW w:w="3369" w:type="dxa"/>
            <w:shd w:val="clear" w:color="auto" w:fill="B4C6E7"/>
          </w:tcPr>
          <w:p w14:paraId="09CA7651" w14:textId="77777777" w:rsidR="003661B9" w:rsidRPr="00CC1213" w:rsidRDefault="00E657F5" w:rsidP="00455EF9">
            <w:pPr>
              <w:rPr>
                <w:rFonts w:eastAsia="Cambria" w:cs="Arial"/>
                <w:sz w:val="18"/>
                <w:szCs w:val="18"/>
                <w:lang w:eastAsia="en-GB"/>
              </w:rPr>
            </w:pPr>
            <w:r>
              <w:rPr>
                <w:rFonts w:eastAsia="Cambria" w:cs="Arial"/>
                <w:b/>
                <w:bCs/>
                <w:sz w:val="18"/>
                <w:szCs w:val="18"/>
                <w:lang w:eastAsia="en-GB"/>
              </w:rPr>
              <w:t>Subgrade CBR &gt;15% (typically sandy gravel subgrade)</w:t>
            </w:r>
            <w:r>
              <w:rPr>
                <w:rFonts w:eastAsia="Cambria" w:cs="Arial"/>
                <w:sz w:val="18"/>
                <w:szCs w:val="18"/>
                <w:lang w:eastAsia="en-GB"/>
              </w:rPr>
              <w:t xml:space="preserve"> </w:t>
            </w:r>
          </w:p>
        </w:tc>
        <w:tc>
          <w:tcPr>
            <w:tcW w:w="992" w:type="dxa"/>
            <w:shd w:val="clear" w:color="auto" w:fill="FBE4D5"/>
          </w:tcPr>
          <w:p w14:paraId="3729C96F" w14:textId="77777777" w:rsidR="003661B9" w:rsidRPr="003C244A" w:rsidRDefault="00E657F5" w:rsidP="00455EF9">
            <w:pPr>
              <w:rPr>
                <w:rFonts w:eastAsia="Cambria" w:cs="Arial"/>
                <w:sz w:val="18"/>
                <w:szCs w:val="18"/>
                <w:lang w:eastAsia="en-GB"/>
              </w:rPr>
            </w:pPr>
            <w:r>
              <w:rPr>
                <w:rFonts w:eastAsia="Cambria" w:cs="Arial"/>
                <w:sz w:val="18"/>
                <w:szCs w:val="18"/>
                <w:lang w:eastAsia="en-GB"/>
              </w:rPr>
              <w:t>200 mm</w:t>
            </w:r>
          </w:p>
        </w:tc>
        <w:tc>
          <w:tcPr>
            <w:tcW w:w="1163" w:type="dxa"/>
            <w:shd w:val="clear" w:color="auto" w:fill="FBE4D5"/>
          </w:tcPr>
          <w:p w14:paraId="59217027" w14:textId="77777777" w:rsidR="003661B9" w:rsidRPr="003C244A" w:rsidRDefault="00E657F5" w:rsidP="00455EF9">
            <w:pPr>
              <w:rPr>
                <w:rFonts w:eastAsia="Cambria" w:cs="Arial"/>
                <w:sz w:val="18"/>
                <w:szCs w:val="18"/>
                <w:lang w:eastAsia="en-GB"/>
              </w:rPr>
            </w:pPr>
            <w:r>
              <w:rPr>
                <w:rFonts w:eastAsia="Cambria" w:cs="Arial"/>
                <w:sz w:val="18"/>
                <w:szCs w:val="18"/>
                <w:lang w:eastAsia="en-GB"/>
              </w:rPr>
              <w:t>200 mm</w:t>
            </w:r>
          </w:p>
        </w:tc>
        <w:tc>
          <w:tcPr>
            <w:tcW w:w="1218" w:type="dxa"/>
            <w:shd w:val="clear" w:color="auto" w:fill="FBE4D5"/>
          </w:tcPr>
          <w:p w14:paraId="72D87749" w14:textId="77777777" w:rsidR="003661B9" w:rsidRPr="003C244A" w:rsidRDefault="00E657F5" w:rsidP="00455EF9">
            <w:pPr>
              <w:rPr>
                <w:rFonts w:eastAsia="Cambria" w:cs="Arial"/>
                <w:sz w:val="18"/>
                <w:szCs w:val="18"/>
                <w:lang w:eastAsia="en-GB"/>
              </w:rPr>
            </w:pPr>
            <w:r>
              <w:rPr>
                <w:rFonts w:eastAsia="Cambria" w:cs="Arial"/>
                <w:sz w:val="18"/>
                <w:szCs w:val="18"/>
                <w:lang w:eastAsia="en-GB"/>
              </w:rPr>
              <w:t>200 mm</w:t>
            </w:r>
          </w:p>
        </w:tc>
        <w:tc>
          <w:tcPr>
            <w:tcW w:w="1219" w:type="dxa"/>
            <w:shd w:val="clear" w:color="auto" w:fill="FBE4D5"/>
          </w:tcPr>
          <w:p w14:paraId="756513AB" w14:textId="77777777" w:rsidR="003661B9" w:rsidRPr="003C244A" w:rsidRDefault="00E657F5" w:rsidP="00455EF9">
            <w:pPr>
              <w:rPr>
                <w:rFonts w:eastAsia="Cambria" w:cs="Arial"/>
                <w:sz w:val="18"/>
                <w:szCs w:val="18"/>
                <w:lang w:eastAsia="en-GB"/>
              </w:rPr>
            </w:pPr>
            <w:r>
              <w:rPr>
                <w:rFonts w:eastAsia="Cambria" w:cs="Arial"/>
                <w:sz w:val="18"/>
                <w:szCs w:val="18"/>
                <w:lang w:eastAsia="en-GB"/>
              </w:rPr>
              <w:t>200 mm</w:t>
            </w:r>
          </w:p>
        </w:tc>
        <w:tc>
          <w:tcPr>
            <w:tcW w:w="1361" w:type="dxa"/>
            <w:shd w:val="clear" w:color="auto" w:fill="FBE4D5"/>
          </w:tcPr>
          <w:p w14:paraId="41B0738B" w14:textId="77777777" w:rsidR="003661B9" w:rsidRPr="003C244A" w:rsidRDefault="00E657F5" w:rsidP="00455EF9">
            <w:pPr>
              <w:rPr>
                <w:rFonts w:eastAsia="Cambria" w:cs="Arial"/>
                <w:sz w:val="18"/>
                <w:szCs w:val="18"/>
                <w:lang w:eastAsia="en-GB"/>
              </w:rPr>
            </w:pPr>
            <w:r>
              <w:rPr>
                <w:rFonts w:eastAsia="Cambria" w:cs="Arial"/>
                <w:sz w:val="18"/>
                <w:szCs w:val="18"/>
                <w:lang w:eastAsia="en-GB"/>
              </w:rPr>
              <w:t>225 mm</w:t>
            </w:r>
          </w:p>
        </w:tc>
      </w:tr>
    </w:tbl>
    <w:p w14:paraId="1AA9C0C8" w14:textId="77777777" w:rsidR="003661B9" w:rsidRDefault="00E657F5" w:rsidP="003661B9">
      <w:pPr>
        <w:rPr>
          <w:lang w:eastAsia="en-GB"/>
        </w:rPr>
      </w:pPr>
      <w:r>
        <w:rPr>
          <w:lang w:eastAsia="en-GB"/>
        </w:rPr>
        <w:t xml:space="preserve">Unbound sub-base to be to MCHW </w:t>
      </w:r>
      <w:r w:rsidR="007330BE">
        <w:rPr>
          <w:lang w:eastAsia="en-GB"/>
        </w:rPr>
        <w:t>C</w:t>
      </w:r>
      <w:r>
        <w:rPr>
          <w:lang w:eastAsia="en-GB"/>
        </w:rPr>
        <w:t>lause 803, 804, 806 or 807.</w:t>
      </w:r>
    </w:p>
    <w:p w14:paraId="7D556C94" w14:textId="77777777" w:rsidR="00014AA3" w:rsidRDefault="00E657F5" w:rsidP="003661B9">
      <w:pPr>
        <w:rPr>
          <w:lang w:eastAsia="en-GB"/>
        </w:rPr>
      </w:pPr>
      <w:r>
        <w:t>Where the base layer carries the development construction traffic then the '&lt; 50 standard axles' column applies irrespective of development size.</w:t>
      </w:r>
    </w:p>
    <w:p w14:paraId="5133653F" w14:textId="77777777" w:rsidR="00014AA3" w:rsidRDefault="00E657F5" w:rsidP="005518EB">
      <w:pPr>
        <w:pStyle w:val="Caption"/>
        <w:jc w:val="center"/>
      </w:pPr>
      <w:bookmarkStart w:id="53" w:name="_Toc119569292"/>
      <w:bookmarkStart w:id="54" w:name="_Toc120010312"/>
      <w:r>
        <w:t xml:space="preserve">Table </w:t>
      </w:r>
      <w:r w:rsidR="00737389">
        <w:fldChar w:fldCharType="begin"/>
      </w:r>
      <w:r>
        <w:instrText xml:space="preserve"> SEQ Table \* ARABIC </w:instrText>
      </w:r>
      <w:r w:rsidR="00737389">
        <w:fldChar w:fldCharType="separate"/>
      </w:r>
      <w:r w:rsidR="00737389">
        <w:rPr>
          <w:noProof/>
        </w:rPr>
        <w:t>5</w:t>
      </w:r>
      <w:r w:rsidR="00737389">
        <w:rPr>
          <w:noProof/>
        </w:rPr>
        <w:fldChar w:fldCharType="end"/>
      </w:r>
      <w:r>
        <w:t xml:space="preserve"> - </w:t>
      </w:r>
      <w:r w:rsidRPr="00A94A35">
        <w:t>Unbound foundation thickness assuming the sub</w:t>
      </w:r>
      <w:r w:rsidR="00AA50C0">
        <w:t>-</w:t>
      </w:r>
      <w:r w:rsidRPr="00A94A35">
        <w:t>base carries the development construction traffic and material deliveries</w:t>
      </w:r>
      <w:bookmarkEnd w:id="53"/>
      <w:bookmarkEnd w:id="54"/>
    </w:p>
    <w:p w14:paraId="3BC008EA" w14:textId="77777777" w:rsidR="00014AA3" w:rsidRPr="00014AA3" w:rsidRDefault="00014AA3" w:rsidP="00014AA3"/>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1975"/>
        <w:gridCol w:w="3004"/>
      </w:tblGrid>
      <w:tr w:rsidR="00B933CA" w14:paraId="792CB87D" w14:textId="77777777" w:rsidTr="00180745">
        <w:tc>
          <w:tcPr>
            <w:tcW w:w="4372" w:type="dxa"/>
            <w:shd w:val="clear" w:color="auto" w:fill="B4C6E7"/>
          </w:tcPr>
          <w:p w14:paraId="5122C97B" w14:textId="77777777" w:rsidR="00A539A7" w:rsidRDefault="00E657F5" w:rsidP="00455EF9">
            <w:pPr>
              <w:rPr>
                <w:lang w:eastAsia="en-GB"/>
              </w:rPr>
            </w:pPr>
            <w:r w:rsidRPr="00A77656">
              <w:rPr>
                <w:rFonts w:eastAsia="Cambria" w:cs="Arial"/>
                <w:b/>
                <w:bCs/>
                <w:sz w:val="18"/>
                <w:szCs w:val="18"/>
                <w:lang w:eastAsia="en-GB"/>
              </w:rPr>
              <w:t>Construction traffic</w:t>
            </w:r>
          </w:p>
        </w:tc>
        <w:tc>
          <w:tcPr>
            <w:tcW w:w="1975" w:type="dxa"/>
            <w:shd w:val="clear" w:color="auto" w:fill="B4C6E7"/>
          </w:tcPr>
          <w:p w14:paraId="3E9850AC"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&lt; 500 standard axles</w:t>
            </w:r>
          </w:p>
        </w:tc>
        <w:tc>
          <w:tcPr>
            <w:tcW w:w="3004" w:type="dxa"/>
            <w:shd w:val="clear" w:color="auto" w:fill="B4C6E7"/>
          </w:tcPr>
          <w:p w14:paraId="745B99EB"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&gt; 500 standard axles</w:t>
            </w:r>
          </w:p>
        </w:tc>
      </w:tr>
      <w:tr w:rsidR="00B933CA" w14:paraId="3947BAEA" w14:textId="77777777" w:rsidTr="00180745">
        <w:tc>
          <w:tcPr>
            <w:tcW w:w="4372" w:type="dxa"/>
            <w:shd w:val="clear" w:color="auto" w:fill="B4C6E7"/>
          </w:tcPr>
          <w:p w14:paraId="43AE97CF"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 xml:space="preserve">Illustrative size of development </w:t>
            </w:r>
          </w:p>
        </w:tc>
        <w:tc>
          <w:tcPr>
            <w:tcW w:w="1975" w:type="dxa"/>
            <w:tcBorders>
              <w:bottom w:val="single" w:sz="4" w:space="0" w:color="auto"/>
            </w:tcBorders>
            <w:shd w:val="clear" w:color="auto" w:fill="B4C6E7"/>
          </w:tcPr>
          <w:p w14:paraId="1C02B88B"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Up to 50 dwellings or 5000 m</w:t>
            </w:r>
            <w:r w:rsidRPr="00A77656">
              <w:rPr>
                <w:rFonts w:eastAsia="Cambria" w:cs="Arial"/>
                <w:sz w:val="18"/>
                <w:szCs w:val="18"/>
                <w:vertAlign w:val="superscript"/>
                <w:lang w:eastAsia="en-GB"/>
              </w:rPr>
              <w:t>2</w:t>
            </w:r>
            <w:r w:rsidRPr="00A77656">
              <w:rPr>
                <w:rFonts w:eastAsia="Cambria" w:cs="Arial"/>
                <w:sz w:val="18"/>
                <w:szCs w:val="18"/>
                <w:lang w:eastAsia="en-GB"/>
              </w:rPr>
              <w:t xml:space="preserve"> commercial property</w:t>
            </w:r>
          </w:p>
        </w:tc>
        <w:tc>
          <w:tcPr>
            <w:tcW w:w="3004" w:type="dxa"/>
            <w:tcBorders>
              <w:bottom w:val="single" w:sz="4" w:space="0" w:color="auto"/>
            </w:tcBorders>
            <w:shd w:val="clear" w:color="auto" w:fill="B4C6E7"/>
          </w:tcPr>
          <w:p w14:paraId="2F6E65E4"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Large development roads and Minor Access Road, Major Access Road, Local Distributor Roads within other developments</w:t>
            </w:r>
          </w:p>
        </w:tc>
      </w:tr>
      <w:tr w:rsidR="00B933CA" w14:paraId="21504E23" w14:textId="77777777" w:rsidTr="00180745">
        <w:tc>
          <w:tcPr>
            <w:tcW w:w="4372" w:type="dxa"/>
            <w:shd w:val="clear" w:color="auto" w:fill="B4C6E7"/>
          </w:tcPr>
          <w:p w14:paraId="0FDA69BE"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Subgrade CBR &lt;2%</w:t>
            </w:r>
          </w:p>
        </w:tc>
        <w:tc>
          <w:tcPr>
            <w:tcW w:w="4979" w:type="dxa"/>
            <w:gridSpan w:val="2"/>
            <w:shd w:val="clear" w:color="auto" w:fill="FBE4D5"/>
          </w:tcPr>
          <w:p w14:paraId="4917637B"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Ground improvement will be necessary</w:t>
            </w:r>
          </w:p>
        </w:tc>
      </w:tr>
      <w:tr w:rsidR="00B933CA" w14:paraId="6CAB220C" w14:textId="77777777" w:rsidTr="00180745">
        <w:tc>
          <w:tcPr>
            <w:tcW w:w="4372" w:type="dxa"/>
            <w:shd w:val="clear" w:color="auto" w:fill="B4C6E7"/>
          </w:tcPr>
          <w:p w14:paraId="20D25023"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Subgrade CBR 2 to 3% (typically high plasticity heavy clay subgrade)</w:t>
            </w:r>
          </w:p>
        </w:tc>
        <w:tc>
          <w:tcPr>
            <w:tcW w:w="1975" w:type="dxa"/>
            <w:shd w:val="clear" w:color="auto" w:fill="FBE4D5"/>
          </w:tcPr>
          <w:p w14:paraId="3F5903C4"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330 mm</w:t>
            </w:r>
          </w:p>
        </w:tc>
        <w:tc>
          <w:tcPr>
            <w:tcW w:w="3004" w:type="dxa"/>
            <w:shd w:val="clear" w:color="auto" w:fill="FBE4D5"/>
          </w:tcPr>
          <w:p w14:paraId="54F240C1"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380 mm</w:t>
            </w:r>
          </w:p>
        </w:tc>
      </w:tr>
      <w:tr w:rsidR="00B933CA" w14:paraId="63BE1C09" w14:textId="77777777" w:rsidTr="00180745">
        <w:tc>
          <w:tcPr>
            <w:tcW w:w="4372" w:type="dxa"/>
            <w:shd w:val="clear" w:color="auto" w:fill="B4C6E7"/>
          </w:tcPr>
          <w:p w14:paraId="7C4622D0"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Subgrade CBR &gt;3 to 5% (typically medium plasticity clay subgrade)</w:t>
            </w:r>
          </w:p>
        </w:tc>
        <w:tc>
          <w:tcPr>
            <w:tcW w:w="1975" w:type="dxa"/>
            <w:shd w:val="clear" w:color="auto" w:fill="FBE4D5"/>
          </w:tcPr>
          <w:p w14:paraId="29B27A87"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290 mm</w:t>
            </w:r>
          </w:p>
        </w:tc>
        <w:tc>
          <w:tcPr>
            <w:tcW w:w="3004" w:type="dxa"/>
            <w:shd w:val="clear" w:color="auto" w:fill="FBE4D5"/>
          </w:tcPr>
          <w:p w14:paraId="3F135559"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340 mm</w:t>
            </w:r>
          </w:p>
        </w:tc>
      </w:tr>
      <w:tr w:rsidR="00B933CA" w14:paraId="24030420" w14:textId="77777777" w:rsidTr="00180745">
        <w:tc>
          <w:tcPr>
            <w:tcW w:w="4372" w:type="dxa"/>
            <w:shd w:val="clear" w:color="auto" w:fill="B4C6E7"/>
          </w:tcPr>
          <w:p w14:paraId="0F4663E8"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Subgrade CBR &gt;5 to 7% (typically low plasticity sandy clay subgrade with average/good constructive conditions and low water table assumed – otherwise use row above)</w:t>
            </w:r>
          </w:p>
        </w:tc>
        <w:tc>
          <w:tcPr>
            <w:tcW w:w="1975" w:type="dxa"/>
            <w:shd w:val="clear" w:color="auto" w:fill="FBE4D5"/>
          </w:tcPr>
          <w:p w14:paraId="1A737E92"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220 mm</w:t>
            </w:r>
          </w:p>
        </w:tc>
        <w:tc>
          <w:tcPr>
            <w:tcW w:w="3004" w:type="dxa"/>
            <w:shd w:val="clear" w:color="auto" w:fill="FBE4D5"/>
          </w:tcPr>
          <w:p w14:paraId="5BCB5EDC"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270 mm</w:t>
            </w:r>
          </w:p>
        </w:tc>
      </w:tr>
      <w:tr w:rsidR="00B933CA" w14:paraId="1FFAD9C9" w14:textId="77777777" w:rsidTr="00180745">
        <w:tc>
          <w:tcPr>
            <w:tcW w:w="4372" w:type="dxa"/>
            <w:shd w:val="clear" w:color="auto" w:fill="B4C6E7"/>
          </w:tcPr>
          <w:p w14:paraId="22C2102D"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Subgrade CBR &gt;7 to 14% (typically sandy subgrade)</w:t>
            </w:r>
          </w:p>
        </w:tc>
        <w:tc>
          <w:tcPr>
            <w:tcW w:w="1975" w:type="dxa"/>
            <w:shd w:val="clear" w:color="auto" w:fill="FBE4D5"/>
          </w:tcPr>
          <w:p w14:paraId="09F34BF1"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200 mm</w:t>
            </w:r>
          </w:p>
        </w:tc>
        <w:tc>
          <w:tcPr>
            <w:tcW w:w="3004" w:type="dxa"/>
            <w:shd w:val="clear" w:color="auto" w:fill="FBE4D5"/>
          </w:tcPr>
          <w:p w14:paraId="55B51BDD"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250 mm</w:t>
            </w:r>
          </w:p>
        </w:tc>
      </w:tr>
    </w:tbl>
    <w:p w14:paraId="7581A817" w14:textId="77777777" w:rsidR="00A539A7" w:rsidRDefault="00E657F5" w:rsidP="00A539A7">
      <w:pPr>
        <w:rPr>
          <w:lang w:eastAsia="en-GB"/>
        </w:rPr>
      </w:pPr>
      <w:r>
        <w:rPr>
          <w:lang w:eastAsia="en-GB"/>
        </w:rPr>
        <w:t>HBM to be minimum R</w:t>
      </w:r>
      <w:r w:rsidRPr="00D259CB">
        <w:rPr>
          <w:vertAlign w:val="subscript"/>
          <w:lang w:eastAsia="en-GB"/>
        </w:rPr>
        <w:t>c</w:t>
      </w:r>
      <w:r>
        <w:rPr>
          <w:lang w:eastAsia="en-GB"/>
        </w:rPr>
        <w:t xml:space="preserve"> class 3/4 to MCHW </w:t>
      </w:r>
      <w:r w:rsidR="007330BE">
        <w:rPr>
          <w:lang w:eastAsia="en-GB"/>
        </w:rPr>
        <w:t>C</w:t>
      </w:r>
      <w:r>
        <w:rPr>
          <w:lang w:eastAsia="en-GB"/>
        </w:rPr>
        <w:t>lause 821, 822 or 840.</w:t>
      </w:r>
      <w:r w:rsidR="00014AA3" w:rsidRPr="00014AA3">
        <w:rPr>
          <w:sz w:val="20"/>
          <w:szCs w:val="20"/>
          <w:lang w:eastAsia="en-GB"/>
        </w:rPr>
        <w:t xml:space="preserve"> </w:t>
      </w:r>
      <w:r w:rsidR="00014AA3" w:rsidRPr="00014AA3">
        <w:rPr>
          <w:lang w:eastAsia="en-GB"/>
        </w:rPr>
        <w:t>Thickness</w:t>
      </w:r>
      <w:r w:rsidR="00014AA3">
        <w:rPr>
          <w:lang w:eastAsia="en-GB"/>
        </w:rPr>
        <w:t>es</w:t>
      </w:r>
      <w:r w:rsidR="00014AA3" w:rsidRPr="00014AA3">
        <w:rPr>
          <w:lang w:eastAsia="en-GB"/>
        </w:rPr>
        <w:t xml:space="preserve"> are for mixture produced in a central plant. When produced by in-situ stabilisation, indicated thickness shall be increased by 50mm.</w:t>
      </w:r>
    </w:p>
    <w:p w14:paraId="0A1A83C7" w14:textId="77777777" w:rsidR="00014AA3" w:rsidRDefault="00E657F5" w:rsidP="00A539A7">
      <w:pPr>
        <w:rPr>
          <w:lang w:eastAsia="en-GB"/>
        </w:rPr>
      </w:pPr>
      <w:r>
        <w:t>Where the base layer carries the development construction traffic</w:t>
      </w:r>
      <w:r>
        <w:rPr>
          <w:lang w:eastAsia="en-GB"/>
        </w:rPr>
        <w:t xml:space="preserve"> then the '&lt; 500 standard axles' column applies irrespective of development size.</w:t>
      </w:r>
    </w:p>
    <w:p w14:paraId="363E21DD" w14:textId="77777777" w:rsidR="00014AA3" w:rsidRDefault="00E657F5" w:rsidP="005518EB">
      <w:pPr>
        <w:pStyle w:val="Caption"/>
        <w:jc w:val="center"/>
      </w:pPr>
      <w:bookmarkStart w:id="55" w:name="_Toc119569293"/>
      <w:bookmarkStart w:id="56" w:name="_Toc120010313"/>
      <w:r>
        <w:t xml:space="preserve">Table </w:t>
      </w:r>
      <w:r w:rsidR="00737389">
        <w:fldChar w:fldCharType="begin"/>
      </w:r>
      <w:r>
        <w:instrText xml:space="preserve"> SEQ Table \* ARABIC </w:instrText>
      </w:r>
      <w:r w:rsidR="00737389">
        <w:fldChar w:fldCharType="separate"/>
      </w:r>
      <w:r w:rsidR="00737389">
        <w:rPr>
          <w:noProof/>
        </w:rPr>
        <w:t>6</w:t>
      </w:r>
      <w:r w:rsidR="00737389">
        <w:rPr>
          <w:noProof/>
        </w:rPr>
        <w:fldChar w:fldCharType="end"/>
      </w:r>
      <w:r>
        <w:t xml:space="preserve"> - </w:t>
      </w:r>
      <w:r w:rsidRPr="003D05C0">
        <w:t>Hydraulically Bound M</w:t>
      </w:r>
      <w:r w:rsidR="00C95DD6">
        <w:t>ixture</w:t>
      </w:r>
      <w:r w:rsidRPr="003D05C0">
        <w:t xml:space="preserve"> (HBM) </w:t>
      </w:r>
      <w:r w:rsidR="004106EE">
        <w:t>foundation</w:t>
      </w:r>
      <w:r w:rsidRPr="003D05C0">
        <w:t xml:space="preserve"> thickness assuming the sub</w:t>
      </w:r>
      <w:r w:rsidR="00AA50C0">
        <w:t>-</w:t>
      </w:r>
      <w:r w:rsidRPr="003D05C0">
        <w:t>base carries the development construction traffic and material deliveries</w:t>
      </w:r>
      <w:bookmarkEnd w:id="55"/>
      <w:bookmarkEnd w:id="56"/>
    </w:p>
    <w:p w14:paraId="08A5FA73" w14:textId="77777777" w:rsidR="00A539A7" w:rsidRDefault="00A539A7" w:rsidP="00A539A7">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1338"/>
        <w:gridCol w:w="1326"/>
        <w:gridCol w:w="1338"/>
        <w:gridCol w:w="1326"/>
      </w:tblGrid>
      <w:tr w:rsidR="00B933CA" w14:paraId="000D0907" w14:textId="77777777" w:rsidTr="002F2B15">
        <w:tc>
          <w:tcPr>
            <w:tcW w:w="3794" w:type="dxa"/>
            <w:shd w:val="clear" w:color="auto" w:fill="B4C6E7"/>
          </w:tcPr>
          <w:p w14:paraId="6285B51D" w14:textId="77777777" w:rsidR="00A539A7" w:rsidRDefault="00E657F5" w:rsidP="00455EF9">
            <w:pPr>
              <w:rPr>
                <w:lang w:eastAsia="en-GB"/>
              </w:rPr>
            </w:pPr>
            <w:r w:rsidRPr="00A77656">
              <w:rPr>
                <w:rFonts w:eastAsia="Cambria" w:cs="Arial"/>
                <w:b/>
                <w:bCs/>
                <w:sz w:val="18"/>
                <w:szCs w:val="18"/>
                <w:lang w:eastAsia="en-GB"/>
              </w:rPr>
              <w:t>Construction traffic</w:t>
            </w:r>
          </w:p>
        </w:tc>
        <w:tc>
          <w:tcPr>
            <w:tcW w:w="2721" w:type="dxa"/>
            <w:gridSpan w:val="2"/>
            <w:shd w:val="clear" w:color="auto" w:fill="B4C6E7"/>
          </w:tcPr>
          <w:p w14:paraId="3E82013C"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&lt; 500 standard axles</w:t>
            </w:r>
          </w:p>
        </w:tc>
        <w:tc>
          <w:tcPr>
            <w:tcW w:w="2721" w:type="dxa"/>
            <w:gridSpan w:val="2"/>
            <w:shd w:val="clear" w:color="auto" w:fill="B4C6E7"/>
          </w:tcPr>
          <w:p w14:paraId="1C7643A0"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&gt; 500 standard axles</w:t>
            </w:r>
          </w:p>
        </w:tc>
      </w:tr>
      <w:tr w:rsidR="00B933CA" w14:paraId="412C899B" w14:textId="77777777" w:rsidTr="002F2B15">
        <w:tc>
          <w:tcPr>
            <w:tcW w:w="3794" w:type="dxa"/>
            <w:shd w:val="clear" w:color="auto" w:fill="B4C6E7"/>
          </w:tcPr>
          <w:p w14:paraId="0F1FF1FE"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 xml:space="preserve">Illustrative size of development </w:t>
            </w:r>
          </w:p>
        </w:tc>
        <w:tc>
          <w:tcPr>
            <w:tcW w:w="2721" w:type="dxa"/>
            <w:gridSpan w:val="2"/>
            <w:tcBorders>
              <w:bottom w:val="single" w:sz="4" w:space="0" w:color="auto"/>
            </w:tcBorders>
            <w:shd w:val="clear" w:color="auto" w:fill="B4C6E7"/>
          </w:tcPr>
          <w:p w14:paraId="57934356"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Up to 50 dwellings or 5000m</w:t>
            </w:r>
            <w:r w:rsidRPr="00A77656">
              <w:rPr>
                <w:rFonts w:eastAsia="Cambria" w:cs="Arial"/>
                <w:sz w:val="18"/>
                <w:szCs w:val="18"/>
                <w:vertAlign w:val="superscript"/>
                <w:lang w:eastAsia="en-GB"/>
              </w:rPr>
              <w:t>2</w:t>
            </w:r>
            <w:r w:rsidRPr="00A77656">
              <w:rPr>
                <w:rFonts w:eastAsia="Cambria" w:cs="Arial"/>
                <w:sz w:val="18"/>
                <w:szCs w:val="18"/>
                <w:lang w:eastAsia="en-GB"/>
              </w:rPr>
              <w:t xml:space="preserve"> commercial property</w:t>
            </w:r>
          </w:p>
        </w:tc>
        <w:tc>
          <w:tcPr>
            <w:tcW w:w="2721" w:type="dxa"/>
            <w:gridSpan w:val="2"/>
            <w:tcBorders>
              <w:bottom w:val="single" w:sz="4" w:space="0" w:color="auto"/>
            </w:tcBorders>
            <w:shd w:val="clear" w:color="auto" w:fill="B4C6E7"/>
          </w:tcPr>
          <w:p w14:paraId="478B2C3A"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Large development roads and Minor Access Road, Major Access Road, Local Distributor Roads within other developments</w:t>
            </w:r>
          </w:p>
        </w:tc>
      </w:tr>
      <w:tr w:rsidR="00B933CA" w14:paraId="48C46A6E" w14:textId="77777777" w:rsidTr="002F2B15">
        <w:tc>
          <w:tcPr>
            <w:tcW w:w="3794" w:type="dxa"/>
            <w:shd w:val="clear" w:color="auto" w:fill="B4C6E7"/>
          </w:tcPr>
          <w:p w14:paraId="64A7E5A9" w14:textId="77777777" w:rsidR="00A539A7" w:rsidRPr="00A77656" w:rsidRDefault="00A539A7" w:rsidP="00455EF9">
            <w:pPr>
              <w:rPr>
                <w:rFonts w:eastAsia="Cambria" w:cs="Arial"/>
                <w:b/>
                <w:bCs/>
                <w:sz w:val="18"/>
                <w:szCs w:val="18"/>
                <w:lang w:eastAsia="en-GB"/>
              </w:rPr>
            </w:pPr>
          </w:p>
        </w:tc>
        <w:tc>
          <w:tcPr>
            <w:tcW w:w="1360" w:type="dxa"/>
            <w:tcBorders>
              <w:bottom w:val="single" w:sz="4" w:space="0" w:color="auto"/>
            </w:tcBorders>
            <w:shd w:val="clear" w:color="auto" w:fill="B4C6E7"/>
          </w:tcPr>
          <w:p w14:paraId="182262E2"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 xml:space="preserve">Capping </w:t>
            </w:r>
          </w:p>
        </w:tc>
        <w:tc>
          <w:tcPr>
            <w:tcW w:w="1361" w:type="dxa"/>
            <w:tcBorders>
              <w:bottom w:val="single" w:sz="4" w:space="0" w:color="auto"/>
            </w:tcBorders>
            <w:shd w:val="clear" w:color="auto" w:fill="B4C6E7"/>
          </w:tcPr>
          <w:p w14:paraId="7A382D73"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Sub-base</w:t>
            </w:r>
          </w:p>
        </w:tc>
        <w:tc>
          <w:tcPr>
            <w:tcW w:w="1360" w:type="dxa"/>
            <w:tcBorders>
              <w:bottom w:val="single" w:sz="4" w:space="0" w:color="auto"/>
            </w:tcBorders>
            <w:shd w:val="clear" w:color="auto" w:fill="B4C6E7"/>
          </w:tcPr>
          <w:p w14:paraId="58347B34"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Capping</w:t>
            </w:r>
          </w:p>
        </w:tc>
        <w:tc>
          <w:tcPr>
            <w:tcW w:w="1361" w:type="dxa"/>
            <w:tcBorders>
              <w:bottom w:val="single" w:sz="4" w:space="0" w:color="auto"/>
            </w:tcBorders>
            <w:shd w:val="clear" w:color="auto" w:fill="B4C6E7"/>
          </w:tcPr>
          <w:p w14:paraId="70675F6A"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Sub-base</w:t>
            </w:r>
          </w:p>
        </w:tc>
      </w:tr>
      <w:tr w:rsidR="00B933CA" w14:paraId="3ACFF8B6" w14:textId="77777777" w:rsidTr="002F2B15">
        <w:tc>
          <w:tcPr>
            <w:tcW w:w="3794" w:type="dxa"/>
            <w:shd w:val="clear" w:color="auto" w:fill="B4C6E7"/>
          </w:tcPr>
          <w:p w14:paraId="3233E0CB"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Subgrade CBR &lt;2%</w:t>
            </w:r>
          </w:p>
        </w:tc>
        <w:tc>
          <w:tcPr>
            <w:tcW w:w="5442" w:type="dxa"/>
            <w:gridSpan w:val="4"/>
            <w:shd w:val="clear" w:color="auto" w:fill="FBE4D5"/>
          </w:tcPr>
          <w:p w14:paraId="0B4395A1"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Ground improvement will be necessary</w:t>
            </w:r>
          </w:p>
        </w:tc>
      </w:tr>
      <w:tr w:rsidR="00B933CA" w14:paraId="038B2C18" w14:textId="77777777" w:rsidTr="002F2B15">
        <w:tc>
          <w:tcPr>
            <w:tcW w:w="3794" w:type="dxa"/>
            <w:shd w:val="clear" w:color="auto" w:fill="B4C6E7"/>
          </w:tcPr>
          <w:p w14:paraId="578532EF"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Subgrade CBR 2 to 3% (typically high plasticity heavy clay subgrade)</w:t>
            </w:r>
          </w:p>
        </w:tc>
        <w:tc>
          <w:tcPr>
            <w:tcW w:w="1360" w:type="dxa"/>
            <w:tcBorders>
              <w:bottom w:val="single" w:sz="4" w:space="0" w:color="auto"/>
            </w:tcBorders>
            <w:shd w:val="clear" w:color="auto" w:fill="FBE4D5"/>
          </w:tcPr>
          <w:p w14:paraId="2BFFEC58"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310 mm</w:t>
            </w:r>
          </w:p>
        </w:tc>
        <w:tc>
          <w:tcPr>
            <w:tcW w:w="1361" w:type="dxa"/>
            <w:tcBorders>
              <w:bottom w:val="single" w:sz="4" w:space="0" w:color="auto"/>
            </w:tcBorders>
            <w:shd w:val="clear" w:color="auto" w:fill="FBE4D5"/>
          </w:tcPr>
          <w:p w14:paraId="141AA691"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280 mm</w:t>
            </w:r>
          </w:p>
        </w:tc>
        <w:tc>
          <w:tcPr>
            <w:tcW w:w="1360" w:type="dxa"/>
            <w:tcBorders>
              <w:bottom w:val="single" w:sz="4" w:space="0" w:color="auto"/>
            </w:tcBorders>
            <w:shd w:val="clear" w:color="auto" w:fill="FBE4D5"/>
          </w:tcPr>
          <w:p w14:paraId="5D74BDCC"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360 mm</w:t>
            </w:r>
          </w:p>
        </w:tc>
        <w:tc>
          <w:tcPr>
            <w:tcW w:w="1361" w:type="dxa"/>
            <w:tcBorders>
              <w:bottom w:val="single" w:sz="4" w:space="0" w:color="auto"/>
            </w:tcBorders>
            <w:shd w:val="clear" w:color="auto" w:fill="FBE4D5"/>
          </w:tcPr>
          <w:p w14:paraId="62A232FE"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280 mm</w:t>
            </w:r>
          </w:p>
        </w:tc>
      </w:tr>
      <w:tr w:rsidR="00B933CA" w14:paraId="6DC0C080" w14:textId="77777777" w:rsidTr="002F2B15">
        <w:tc>
          <w:tcPr>
            <w:tcW w:w="3794" w:type="dxa"/>
            <w:shd w:val="clear" w:color="auto" w:fill="B4C6E7"/>
          </w:tcPr>
          <w:p w14:paraId="0D2744D3"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Subgrade CBR &gt;3 to 5% (typically medium plasticity clay subgrade)</w:t>
            </w:r>
          </w:p>
        </w:tc>
        <w:tc>
          <w:tcPr>
            <w:tcW w:w="1360" w:type="dxa"/>
            <w:shd w:val="clear" w:color="auto" w:fill="FBE4D5"/>
          </w:tcPr>
          <w:p w14:paraId="36881DA8"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310 mm</w:t>
            </w:r>
          </w:p>
        </w:tc>
        <w:tc>
          <w:tcPr>
            <w:tcW w:w="1361" w:type="dxa"/>
            <w:shd w:val="clear" w:color="auto" w:fill="FBE4D5"/>
          </w:tcPr>
          <w:p w14:paraId="1EE6890E"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250 mm</w:t>
            </w:r>
          </w:p>
        </w:tc>
        <w:tc>
          <w:tcPr>
            <w:tcW w:w="1360" w:type="dxa"/>
            <w:shd w:val="clear" w:color="auto" w:fill="FBE4D5"/>
          </w:tcPr>
          <w:p w14:paraId="0D249B75"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360 mm</w:t>
            </w:r>
          </w:p>
        </w:tc>
        <w:tc>
          <w:tcPr>
            <w:tcW w:w="1361" w:type="dxa"/>
            <w:shd w:val="clear" w:color="auto" w:fill="FBE4D5"/>
          </w:tcPr>
          <w:p w14:paraId="506C81EA"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250 mm</w:t>
            </w:r>
          </w:p>
        </w:tc>
      </w:tr>
      <w:tr w:rsidR="00B933CA" w14:paraId="045F2116" w14:textId="77777777" w:rsidTr="002F2B15">
        <w:tc>
          <w:tcPr>
            <w:tcW w:w="3794" w:type="dxa"/>
            <w:shd w:val="clear" w:color="auto" w:fill="B4C6E7"/>
          </w:tcPr>
          <w:p w14:paraId="16A5EE2E"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Subgrade CBR &gt;5 to 7% (typically low plasticity sandy clay subgrade with average/good constructive conditions and low water table assumed – otherwise use row above)</w:t>
            </w:r>
          </w:p>
        </w:tc>
        <w:tc>
          <w:tcPr>
            <w:tcW w:w="1360" w:type="dxa"/>
            <w:shd w:val="clear" w:color="auto" w:fill="FBE4D5"/>
          </w:tcPr>
          <w:p w14:paraId="76AF21F7"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310 mm</w:t>
            </w:r>
          </w:p>
        </w:tc>
        <w:tc>
          <w:tcPr>
            <w:tcW w:w="1361" w:type="dxa"/>
            <w:shd w:val="clear" w:color="auto" w:fill="FBE4D5"/>
          </w:tcPr>
          <w:p w14:paraId="37B6F6F8"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200 mm</w:t>
            </w:r>
          </w:p>
        </w:tc>
        <w:tc>
          <w:tcPr>
            <w:tcW w:w="1360" w:type="dxa"/>
            <w:shd w:val="clear" w:color="auto" w:fill="FBE4D5"/>
          </w:tcPr>
          <w:p w14:paraId="012D53DA"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360 mm</w:t>
            </w:r>
          </w:p>
        </w:tc>
        <w:tc>
          <w:tcPr>
            <w:tcW w:w="1361" w:type="dxa"/>
            <w:shd w:val="clear" w:color="auto" w:fill="FBE4D5"/>
          </w:tcPr>
          <w:p w14:paraId="42F677CF"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200 mm</w:t>
            </w:r>
          </w:p>
        </w:tc>
      </w:tr>
      <w:tr w:rsidR="00B933CA" w14:paraId="54333E6D" w14:textId="77777777" w:rsidTr="002F2B15">
        <w:tc>
          <w:tcPr>
            <w:tcW w:w="3794" w:type="dxa"/>
            <w:shd w:val="clear" w:color="auto" w:fill="B4C6E7"/>
          </w:tcPr>
          <w:p w14:paraId="5085029D"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Subgrade CBR &gt;7 to 14% (typically sandy subgrade)</w:t>
            </w:r>
          </w:p>
        </w:tc>
        <w:tc>
          <w:tcPr>
            <w:tcW w:w="1360" w:type="dxa"/>
            <w:shd w:val="clear" w:color="auto" w:fill="FBE4D5"/>
          </w:tcPr>
          <w:p w14:paraId="19C20EAA"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310 mm</w:t>
            </w:r>
          </w:p>
        </w:tc>
        <w:tc>
          <w:tcPr>
            <w:tcW w:w="1361" w:type="dxa"/>
            <w:shd w:val="clear" w:color="auto" w:fill="FBE4D5"/>
          </w:tcPr>
          <w:p w14:paraId="44B94A21"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160 mm</w:t>
            </w:r>
          </w:p>
        </w:tc>
        <w:tc>
          <w:tcPr>
            <w:tcW w:w="1360" w:type="dxa"/>
            <w:shd w:val="clear" w:color="auto" w:fill="FBE4D5"/>
          </w:tcPr>
          <w:p w14:paraId="135D9A93"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360 mm</w:t>
            </w:r>
          </w:p>
        </w:tc>
        <w:tc>
          <w:tcPr>
            <w:tcW w:w="1361" w:type="dxa"/>
            <w:shd w:val="clear" w:color="auto" w:fill="FBE4D5"/>
          </w:tcPr>
          <w:p w14:paraId="08FFB0EE"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160 mm</w:t>
            </w:r>
          </w:p>
        </w:tc>
      </w:tr>
    </w:tbl>
    <w:p w14:paraId="4CEEBCA1" w14:textId="77777777" w:rsidR="00A539A7" w:rsidRDefault="00E657F5" w:rsidP="00A539A7">
      <w:pPr>
        <w:rPr>
          <w:lang w:eastAsia="en-GB"/>
        </w:rPr>
      </w:pPr>
      <w:r>
        <w:rPr>
          <w:lang w:eastAsia="en-GB"/>
        </w:rPr>
        <w:t xml:space="preserve">Unbound sub-base to be to MCHW </w:t>
      </w:r>
      <w:r w:rsidR="007330BE">
        <w:rPr>
          <w:lang w:eastAsia="en-GB"/>
        </w:rPr>
        <w:t>C</w:t>
      </w:r>
      <w:r>
        <w:rPr>
          <w:lang w:eastAsia="en-GB"/>
        </w:rPr>
        <w:t>lause 803, 804, 806 or 807.</w:t>
      </w:r>
    </w:p>
    <w:p w14:paraId="7DC74EF1" w14:textId="77777777" w:rsidR="00014AA3" w:rsidRDefault="00E657F5" w:rsidP="005518EB">
      <w:pPr>
        <w:pStyle w:val="Caption"/>
        <w:jc w:val="center"/>
      </w:pPr>
      <w:bookmarkStart w:id="57" w:name="_Toc119569294"/>
      <w:bookmarkStart w:id="58" w:name="_Toc120010314"/>
      <w:r>
        <w:t xml:space="preserve">Table </w:t>
      </w:r>
      <w:r w:rsidR="00737389">
        <w:fldChar w:fldCharType="begin"/>
      </w:r>
      <w:r>
        <w:instrText xml:space="preserve"> SEQ Table \* ARABIC </w:instrText>
      </w:r>
      <w:r w:rsidR="00737389">
        <w:fldChar w:fldCharType="separate"/>
      </w:r>
      <w:r w:rsidR="00737389">
        <w:rPr>
          <w:noProof/>
        </w:rPr>
        <w:t>7</w:t>
      </w:r>
      <w:r w:rsidR="00737389">
        <w:rPr>
          <w:noProof/>
        </w:rPr>
        <w:fldChar w:fldCharType="end"/>
      </w:r>
      <w:r>
        <w:t xml:space="preserve"> - </w:t>
      </w:r>
      <w:r w:rsidRPr="00D51F86">
        <w:t>Unbound sub</w:t>
      </w:r>
      <w:r w:rsidR="00AA50C0">
        <w:t>-</w:t>
      </w:r>
      <w:r w:rsidRPr="00D51F86">
        <w:t>base on stabilised capping foundation thicknesses assuming the sub</w:t>
      </w:r>
      <w:r w:rsidR="00AA50C0">
        <w:t>-</w:t>
      </w:r>
      <w:r w:rsidRPr="00D51F86">
        <w:t>base carries the development construction traffic and material deliveries.</w:t>
      </w:r>
      <w:bookmarkEnd w:id="57"/>
      <w:bookmarkEnd w:id="58"/>
    </w:p>
    <w:p w14:paraId="622C6750" w14:textId="77777777" w:rsidR="00014AA3" w:rsidRDefault="00014AA3" w:rsidP="00A539A7">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1338"/>
        <w:gridCol w:w="1326"/>
        <w:gridCol w:w="1338"/>
        <w:gridCol w:w="1326"/>
      </w:tblGrid>
      <w:tr w:rsidR="00B933CA" w14:paraId="50D21F37" w14:textId="77777777" w:rsidTr="00014AA3">
        <w:tc>
          <w:tcPr>
            <w:tcW w:w="3682" w:type="dxa"/>
            <w:shd w:val="clear" w:color="auto" w:fill="B4C6E7"/>
          </w:tcPr>
          <w:p w14:paraId="5C845A54" w14:textId="77777777" w:rsidR="00A539A7" w:rsidRDefault="00E657F5" w:rsidP="00455EF9">
            <w:pPr>
              <w:rPr>
                <w:lang w:eastAsia="en-GB"/>
              </w:rPr>
            </w:pPr>
            <w:r w:rsidRPr="00A77656">
              <w:rPr>
                <w:rFonts w:eastAsia="Cambria" w:cs="Arial"/>
                <w:b/>
                <w:bCs/>
                <w:sz w:val="18"/>
                <w:szCs w:val="18"/>
                <w:lang w:eastAsia="en-GB"/>
              </w:rPr>
              <w:t>Construction traffic</w:t>
            </w:r>
          </w:p>
        </w:tc>
        <w:tc>
          <w:tcPr>
            <w:tcW w:w="2664" w:type="dxa"/>
            <w:gridSpan w:val="2"/>
            <w:shd w:val="clear" w:color="auto" w:fill="B4C6E7"/>
          </w:tcPr>
          <w:p w14:paraId="5C8A226E"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&lt; 500 standard axles</w:t>
            </w:r>
          </w:p>
        </w:tc>
        <w:tc>
          <w:tcPr>
            <w:tcW w:w="2664" w:type="dxa"/>
            <w:gridSpan w:val="2"/>
            <w:shd w:val="clear" w:color="auto" w:fill="B4C6E7"/>
          </w:tcPr>
          <w:p w14:paraId="3A57AE9A"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&gt; 500 standard axles</w:t>
            </w:r>
          </w:p>
        </w:tc>
      </w:tr>
      <w:tr w:rsidR="00B933CA" w14:paraId="49961349" w14:textId="77777777" w:rsidTr="00014AA3">
        <w:tc>
          <w:tcPr>
            <w:tcW w:w="3682" w:type="dxa"/>
            <w:shd w:val="clear" w:color="auto" w:fill="B4C6E7"/>
          </w:tcPr>
          <w:p w14:paraId="28044F95"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 xml:space="preserve">Illustrative size of development </w:t>
            </w:r>
          </w:p>
        </w:tc>
        <w:tc>
          <w:tcPr>
            <w:tcW w:w="2664" w:type="dxa"/>
            <w:gridSpan w:val="2"/>
            <w:tcBorders>
              <w:bottom w:val="single" w:sz="4" w:space="0" w:color="auto"/>
            </w:tcBorders>
            <w:shd w:val="clear" w:color="auto" w:fill="B4C6E7"/>
          </w:tcPr>
          <w:p w14:paraId="486DCF5C"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Up to 50 dwellings or 5000m</w:t>
            </w:r>
            <w:r w:rsidRPr="00A77656">
              <w:rPr>
                <w:rFonts w:eastAsia="Cambria" w:cs="Arial"/>
                <w:sz w:val="18"/>
                <w:szCs w:val="18"/>
                <w:vertAlign w:val="superscript"/>
                <w:lang w:eastAsia="en-GB"/>
              </w:rPr>
              <w:t>2</w:t>
            </w:r>
            <w:r w:rsidRPr="00A77656">
              <w:rPr>
                <w:rFonts w:eastAsia="Cambria" w:cs="Arial"/>
                <w:sz w:val="18"/>
                <w:szCs w:val="18"/>
                <w:lang w:eastAsia="en-GB"/>
              </w:rPr>
              <w:t xml:space="preserve"> commercial property</w:t>
            </w:r>
          </w:p>
        </w:tc>
        <w:tc>
          <w:tcPr>
            <w:tcW w:w="2664" w:type="dxa"/>
            <w:gridSpan w:val="2"/>
            <w:tcBorders>
              <w:bottom w:val="single" w:sz="4" w:space="0" w:color="auto"/>
            </w:tcBorders>
            <w:shd w:val="clear" w:color="auto" w:fill="B4C6E7"/>
          </w:tcPr>
          <w:p w14:paraId="37B8DA28"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Large development roads and Minor Access Road, Major Access Road, Local Distributor Roads within other developments</w:t>
            </w:r>
          </w:p>
        </w:tc>
      </w:tr>
      <w:tr w:rsidR="00B933CA" w14:paraId="11E78DE8" w14:textId="77777777" w:rsidTr="00014AA3">
        <w:tc>
          <w:tcPr>
            <w:tcW w:w="3682" w:type="dxa"/>
            <w:shd w:val="clear" w:color="auto" w:fill="B4C6E7"/>
          </w:tcPr>
          <w:p w14:paraId="1D6EC0CC" w14:textId="77777777" w:rsidR="00A539A7" w:rsidRPr="00A77656" w:rsidRDefault="00A539A7" w:rsidP="00455EF9">
            <w:pPr>
              <w:rPr>
                <w:rFonts w:eastAsia="Cambria" w:cs="Arial"/>
                <w:b/>
                <w:bCs/>
                <w:sz w:val="18"/>
                <w:szCs w:val="18"/>
                <w:lang w:eastAsia="en-GB"/>
              </w:rPr>
            </w:pPr>
          </w:p>
        </w:tc>
        <w:tc>
          <w:tcPr>
            <w:tcW w:w="1338" w:type="dxa"/>
            <w:tcBorders>
              <w:bottom w:val="single" w:sz="4" w:space="0" w:color="auto"/>
            </w:tcBorders>
            <w:shd w:val="clear" w:color="auto" w:fill="B4C6E7"/>
          </w:tcPr>
          <w:p w14:paraId="3CE70D74"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 xml:space="preserve">Capping </w:t>
            </w:r>
          </w:p>
        </w:tc>
        <w:tc>
          <w:tcPr>
            <w:tcW w:w="1326" w:type="dxa"/>
            <w:tcBorders>
              <w:bottom w:val="single" w:sz="4" w:space="0" w:color="auto"/>
            </w:tcBorders>
            <w:shd w:val="clear" w:color="auto" w:fill="B4C6E7"/>
          </w:tcPr>
          <w:p w14:paraId="06FBEF97"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Sub-base</w:t>
            </w:r>
          </w:p>
        </w:tc>
        <w:tc>
          <w:tcPr>
            <w:tcW w:w="1338" w:type="dxa"/>
            <w:tcBorders>
              <w:bottom w:val="single" w:sz="4" w:space="0" w:color="auto"/>
            </w:tcBorders>
            <w:shd w:val="clear" w:color="auto" w:fill="B4C6E7"/>
          </w:tcPr>
          <w:p w14:paraId="0A231C2C"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Capping</w:t>
            </w:r>
          </w:p>
        </w:tc>
        <w:tc>
          <w:tcPr>
            <w:tcW w:w="1326" w:type="dxa"/>
            <w:tcBorders>
              <w:bottom w:val="single" w:sz="4" w:space="0" w:color="auto"/>
            </w:tcBorders>
            <w:shd w:val="clear" w:color="auto" w:fill="B4C6E7"/>
          </w:tcPr>
          <w:p w14:paraId="7FFC6CD1"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Sub-base</w:t>
            </w:r>
          </w:p>
        </w:tc>
      </w:tr>
      <w:tr w:rsidR="00B933CA" w14:paraId="3E0AD9C9" w14:textId="77777777" w:rsidTr="00014AA3">
        <w:tc>
          <w:tcPr>
            <w:tcW w:w="3682" w:type="dxa"/>
            <w:shd w:val="clear" w:color="auto" w:fill="B4C6E7"/>
          </w:tcPr>
          <w:p w14:paraId="7B3BBA0B"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Subgrade CBR &lt;2%</w:t>
            </w:r>
          </w:p>
        </w:tc>
        <w:tc>
          <w:tcPr>
            <w:tcW w:w="5328" w:type="dxa"/>
            <w:gridSpan w:val="4"/>
            <w:shd w:val="clear" w:color="auto" w:fill="FBE4D5"/>
          </w:tcPr>
          <w:p w14:paraId="3D5D441D"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Ground improvement will be necessary</w:t>
            </w:r>
          </w:p>
        </w:tc>
      </w:tr>
      <w:tr w:rsidR="00B933CA" w14:paraId="00536DAD" w14:textId="77777777" w:rsidTr="00014AA3">
        <w:tc>
          <w:tcPr>
            <w:tcW w:w="3682" w:type="dxa"/>
            <w:shd w:val="clear" w:color="auto" w:fill="B4C6E7"/>
          </w:tcPr>
          <w:p w14:paraId="4151D846"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Subgrade CBR &gt;2%</w:t>
            </w:r>
          </w:p>
        </w:tc>
        <w:tc>
          <w:tcPr>
            <w:tcW w:w="1338" w:type="dxa"/>
            <w:shd w:val="clear" w:color="auto" w:fill="FBE4D5"/>
          </w:tcPr>
          <w:p w14:paraId="7BE2D09D"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310 mm</w:t>
            </w:r>
          </w:p>
        </w:tc>
        <w:tc>
          <w:tcPr>
            <w:tcW w:w="1326" w:type="dxa"/>
            <w:shd w:val="clear" w:color="auto" w:fill="FBE4D5"/>
          </w:tcPr>
          <w:p w14:paraId="476A1969"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150 mm</w:t>
            </w:r>
          </w:p>
        </w:tc>
        <w:tc>
          <w:tcPr>
            <w:tcW w:w="1338" w:type="dxa"/>
            <w:shd w:val="clear" w:color="auto" w:fill="FBE4D5"/>
          </w:tcPr>
          <w:p w14:paraId="4C5DAD15"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360 mm</w:t>
            </w:r>
          </w:p>
        </w:tc>
        <w:tc>
          <w:tcPr>
            <w:tcW w:w="1326" w:type="dxa"/>
            <w:shd w:val="clear" w:color="auto" w:fill="FBE4D5"/>
          </w:tcPr>
          <w:p w14:paraId="40C5D399"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150 mm</w:t>
            </w:r>
          </w:p>
        </w:tc>
      </w:tr>
    </w:tbl>
    <w:p w14:paraId="1BA33834" w14:textId="77777777" w:rsidR="00014AA3" w:rsidRDefault="00E657F5" w:rsidP="00014AA3">
      <w:pPr>
        <w:rPr>
          <w:lang w:eastAsia="en-GB"/>
        </w:rPr>
      </w:pPr>
      <w:r>
        <w:t>Where the base layer carries the development construction traffic</w:t>
      </w:r>
      <w:r>
        <w:rPr>
          <w:lang w:eastAsia="en-GB"/>
        </w:rPr>
        <w:t xml:space="preserve"> then the '&lt; 500 standard axles' column applies irrespective of development size.</w:t>
      </w:r>
    </w:p>
    <w:p w14:paraId="5FAFD8C4" w14:textId="77777777" w:rsidR="00014AA3" w:rsidRDefault="00E657F5" w:rsidP="005518EB">
      <w:pPr>
        <w:pStyle w:val="Caption"/>
        <w:jc w:val="center"/>
      </w:pPr>
      <w:bookmarkStart w:id="59" w:name="_Toc119569295"/>
      <w:bookmarkStart w:id="60" w:name="_Toc120010315"/>
      <w:r>
        <w:t xml:space="preserve">Table </w:t>
      </w:r>
      <w:r w:rsidR="00737389">
        <w:fldChar w:fldCharType="begin"/>
      </w:r>
      <w:r>
        <w:instrText xml:space="preserve"> SEQ Table \* ARABIC </w:instrText>
      </w:r>
      <w:r w:rsidR="00737389">
        <w:fldChar w:fldCharType="separate"/>
      </w:r>
      <w:r w:rsidR="00737389">
        <w:rPr>
          <w:noProof/>
        </w:rPr>
        <w:t>8</w:t>
      </w:r>
      <w:r w:rsidR="00737389">
        <w:rPr>
          <w:noProof/>
        </w:rPr>
        <w:fldChar w:fldCharType="end"/>
      </w:r>
      <w:r>
        <w:t xml:space="preserve"> - </w:t>
      </w:r>
      <w:r w:rsidR="00C95DD6">
        <w:t>HBM</w:t>
      </w:r>
      <w:r w:rsidRPr="00DE4C6A">
        <w:t xml:space="preserve"> sub</w:t>
      </w:r>
      <w:r w:rsidR="00AA50C0">
        <w:t>-</w:t>
      </w:r>
      <w:r w:rsidRPr="00DE4C6A">
        <w:t>base on stabilised capping foundation thicknesses assuming the sub</w:t>
      </w:r>
      <w:r w:rsidR="00AA50C0">
        <w:t>-</w:t>
      </w:r>
      <w:r w:rsidRPr="00DE4C6A">
        <w:t>base carries the development construction traffic and material deliveries</w:t>
      </w:r>
      <w:bookmarkEnd w:id="59"/>
      <w:bookmarkEnd w:id="60"/>
    </w:p>
    <w:p w14:paraId="781BB011" w14:textId="77777777" w:rsidR="00A539A7" w:rsidRDefault="00A539A7" w:rsidP="00A539A7">
      <w:pPr>
        <w:rPr>
          <w:lang w:eastAsia="en-GB"/>
        </w:rPr>
      </w:pPr>
    </w:p>
    <w:p w14:paraId="593E6659" w14:textId="77777777" w:rsidR="00014AA3" w:rsidRDefault="00014AA3" w:rsidP="00A539A7">
      <w:pPr>
        <w:rPr>
          <w:lang w:eastAsia="en-GB"/>
        </w:rPr>
      </w:pPr>
    </w:p>
    <w:p w14:paraId="49E94D02" w14:textId="77777777" w:rsidR="00014AA3" w:rsidRDefault="00014AA3" w:rsidP="00A539A7">
      <w:pPr>
        <w:rPr>
          <w:lang w:eastAsia="en-GB"/>
        </w:rPr>
      </w:pPr>
    </w:p>
    <w:p w14:paraId="163C160D" w14:textId="77777777" w:rsidR="00014AA3" w:rsidRDefault="00014AA3" w:rsidP="00A539A7">
      <w:pPr>
        <w:rPr>
          <w:lang w:eastAsia="en-GB"/>
        </w:rPr>
      </w:pPr>
    </w:p>
    <w:p w14:paraId="1A26BFC6" w14:textId="77777777" w:rsidR="00014AA3" w:rsidRDefault="00014AA3" w:rsidP="00A539A7">
      <w:pPr>
        <w:rPr>
          <w:lang w:eastAsia="en-GB"/>
        </w:rPr>
      </w:pPr>
    </w:p>
    <w:p w14:paraId="5B97DA9B" w14:textId="77777777" w:rsidR="00014AA3" w:rsidRDefault="00014AA3" w:rsidP="00A539A7">
      <w:pPr>
        <w:rPr>
          <w:lang w:eastAsia="en-GB"/>
        </w:rPr>
      </w:pPr>
    </w:p>
    <w:p w14:paraId="6BAA57AE" w14:textId="77777777" w:rsidR="00A539A7" w:rsidRDefault="00A539A7" w:rsidP="00A539A7">
      <w:pPr>
        <w:rPr>
          <w:lang w:eastAsia="en-GB"/>
        </w:rPr>
      </w:pPr>
    </w:p>
    <w:p w14:paraId="00F29338" w14:textId="77777777" w:rsidR="00014AA3" w:rsidRDefault="00014AA3" w:rsidP="00A539A7">
      <w:pPr>
        <w:rPr>
          <w:lang w:eastAsia="en-GB"/>
        </w:rPr>
      </w:pPr>
    </w:p>
    <w:p w14:paraId="7506791F" w14:textId="77777777" w:rsidR="00014AA3" w:rsidRDefault="00014AA3" w:rsidP="00A539A7">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1338"/>
        <w:gridCol w:w="1326"/>
        <w:gridCol w:w="1338"/>
        <w:gridCol w:w="1326"/>
      </w:tblGrid>
      <w:tr w:rsidR="00B933CA" w14:paraId="1984196A" w14:textId="77777777" w:rsidTr="002F2B15">
        <w:tc>
          <w:tcPr>
            <w:tcW w:w="3794" w:type="dxa"/>
            <w:shd w:val="clear" w:color="auto" w:fill="B4C6E7"/>
          </w:tcPr>
          <w:p w14:paraId="146199CB" w14:textId="77777777" w:rsidR="00A539A7" w:rsidRDefault="00E657F5" w:rsidP="00455EF9">
            <w:pPr>
              <w:rPr>
                <w:lang w:eastAsia="en-GB"/>
              </w:rPr>
            </w:pPr>
            <w:r w:rsidRPr="00A77656">
              <w:rPr>
                <w:rFonts w:eastAsia="Cambria" w:cs="Arial"/>
                <w:b/>
                <w:bCs/>
                <w:sz w:val="18"/>
                <w:szCs w:val="18"/>
                <w:lang w:eastAsia="en-GB"/>
              </w:rPr>
              <w:t>Construction traffic</w:t>
            </w:r>
          </w:p>
        </w:tc>
        <w:tc>
          <w:tcPr>
            <w:tcW w:w="2721" w:type="dxa"/>
            <w:gridSpan w:val="2"/>
            <w:shd w:val="clear" w:color="auto" w:fill="B4C6E7"/>
          </w:tcPr>
          <w:p w14:paraId="7F55C59A"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&lt; 500 standard axles</w:t>
            </w:r>
          </w:p>
        </w:tc>
        <w:tc>
          <w:tcPr>
            <w:tcW w:w="2721" w:type="dxa"/>
            <w:gridSpan w:val="2"/>
            <w:shd w:val="clear" w:color="auto" w:fill="B4C6E7"/>
          </w:tcPr>
          <w:p w14:paraId="188AA261"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&gt; 500 standard axles</w:t>
            </w:r>
          </w:p>
        </w:tc>
      </w:tr>
      <w:tr w:rsidR="00B933CA" w14:paraId="634FA441" w14:textId="77777777" w:rsidTr="002F2B15">
        <w:tc>
          <w:tcPr>
            <w:tcW w:w="3794" w:type="dxa"/>
            <w:tcBorders>
              <w:bottom w:val="single" w:sz="4" w:space="0" w:color="auto"/>
            </w:tcBorders>
            <w:shd w:val="clear" w:color="auto" w:fill="B4C6E7"/>
          </w:tcPr>
          <w:p w14:paraId="7BCFB77E"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 xml:space="preserve">Illustrative size of development </w:t>
            </w:r>
          </w:p>
        </w:tc>
        <w:tc>
          <w:tcPr>
            <w:tcW w:w="2721" w:type="dxa"/>
            <w:gridSpan w:val="2"/>
            <w:tcBorders>
              <w:bottom w:val="single" w:sz="4" w:space="0" w:color="auto"/>
            </w:tcBorders>
            <w:shd w:val="clear" w:color="auto" w:fill="B4C6E7"/>
          </w:tcPr>
          <w:p w14:paraId="6ABF619E"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Up to 50 dwellings or 5000m</w:t>
            </w:r>
            <w:r w:rsidRPr="00A77656">
              <w:rPr>
                <w:rFonts w:eastAsia="Cambria" w:cs="Arial"/>
                <w:sz w:val="18"/>
                <w:szCs w:val="18"/>
                <w:vertAlign w:val="superscript"/>
                <w:lang w:eastAsia="en-GB"/>
              </w:rPr>
              <w:t>2</w:t>
            </w:r>
            <w:r w:rsidRPr="00A77656">
              <w:rPr>
                <w:rFonts w:eastAsia="Cambria" w:cs="Arial"/>
                <w:sz w:val="18"/>
                <w:szCs w:val="18"/>
                <w:lang w:eastAsia="en-GB"/>
              </w:rPr>
              <w:t xml:space="preserve"> commercial property</w:t>
            </w:r>
          </w:p>
        </w:tc>
        <w:tc>
          <w:tcPr>
            <w:tcW w:w="2721" w:type="dxa"/>
            <w:gridSpan w:val="2"/>
            <w:tcBorders>
              <w:bottom w:val="single" w:sz="4" w:space="0" w:color="auto"/>
            </w:tcBorders>
            <w:shd w:val="clear" w:color="auto" w:fill="B4C6E7"/>
          </w:tcPr>
          <w:p w14:paraId="4B10EC8C"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Large development roads and Minor Access Road, Major Access Road, Local Distributor Roads within other developments</w:t>
            </w:r>
          </w:p>
        </w:tc>
      </w:tr>
      <w:tr w:rsidR="00B933CA" w14:paraId="15F57EF7" w14:textId="77777777" w:rsidTr="002F2B15">
        <w:tc>
          <w:tcPr>
            <w:tcW w:w="3794" w:type="dxa"/>
            <w:shd w:val="clear" w:color="auto" w:fill="B4C6E7"/>
          </w:tcPr>
          <w:p w14:paraId="015D32F3" w14:textId="77777777" w:rsidR="00A539A7" w:rsidRPr="00A77656" w:rsidRDefault="00A539A7" w:rsidP="00455EF9">
            <w:pPr>
              <w:rPr>
                <w:rFonts w:eastAsia="Cambria" w:cs="Arial"/>
                <w:b/>
                <w:bCs/>
                <w:sz w:val="18"/>
                <w:szCs w:val="18"/>
                <w:lang w:eastAsia="en-GB"/>
              </w:rPr>
            </w:pPr>
          </w:p>
        </w:tc>
        <w:tc>
          <w:tcPr>
            <w:tcW w:w="1360" w:type="dxa"/>
            <w:tcBorders>
              <w:bottom w:val="single" w:sz="4" w:space="0" w:color="auto"/>
            </w:tcBorders>
            <w:shd w:val="clear" w:color="auto" w:fill="B4C6E7"/>
          </w:tcPr>
          <w:p w14:paraId="6F7845E1"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 xml:space="preserve">Capping </w:t>
            </w:r>
          </w:p>
        </w:tc>
        <w:tc>
          <w:tcPr>
            <w:tcW w:w="1361" w:type="dxa"/>
            <w:tcBorders>
              <w:bottom w:val="single" w:sz="4" w:space="0" w:color="auto"/>
            </w:tcBorders>
            <w:shd w:val="clear" w:color="auto" w:fill="B4C6E7"/>
          </w:tcPr>
          <w:p w14:paraId="741DAC04"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Sub-base</w:t>
            </w:r>
          </w:p>
        </w:tc>
        <w:tc>
          <w:tcPr>
            <w:tcW w:w="1360" w:type="dxa"/>
            <w:tcBorders>
              <w:bottom w:val="single" w:sz="4" w:space="0" w:color="auto"/>
            </w:tcBorders>
            <w:shd w:val="clear" w:color="auto" w:fill="B4C6E7"/>
          </w:tcPr>
          <w:p w14:paraId="315D14C2"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Capping</w:t>
            </w:r>
          </w:p>
        </w:tc>
        <w:tc>
          <w:tcPr>
            <w:tcW w:w="1361" w:type="dxa"/>
            <w:tcBorders>
              <w:bottom w:val="single" w:sz="4" w:space="0" w:color="auto"/>
            </w:tcBorders>
            <w:shd w:val="clear" w:color="auto" w:fill="B4C6E7"/>
          </w:tcPr>
          <w:p w14:paraId="5AF22154"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Sub-base</w:t>
            </w:r>
          </w:p>
        </w:tc>
      </w:tr>
      <w:tr w:rsidR="00B933CA" w14:paraId="6E761606" w14:textId="77777777" w:rsidTr="002F2B15">
        <w:tc>
          <w:tcPr>
            <w:tcW w:w="3794" w:type="dxa"/>
            <w:shd w:val="clear" w:color="auto" w:fill="B4C6E7"/>
          </w:tcPr>
          <w:p w14:paraId="06148F58"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Subgrade CBR &lt;2%</w:t>
            </w:r>
          </w:p>
        </w:tc>
        <w:tc>
          <w:tcPr>
            <w:tcW w:w="5442" w:type="dxa"/>
            <w:gridSpan w:val="4"/>
            <w:shd w:val="clear" w:color="auto" w:fill="FBE4D5"/>
          </w:tcPr>
          <w:p w14:paraId="5DCBCCA1"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Ground improvement will be necessary</w:t>
            </w:r>
          </w:p>
        </w:tc>
      </w:tr>
      <w:tr w:rsidR="00B933CA" w14:paraId="12122492" w14:textId="77777777" w:rsidTr="002F2B15">
        <w:tc>
          <w:tcPr>
            <w:tcW w:w="3794" w:type="dxa"/>
            <w:shd w:val="clear" w:color="auto" w:fill="B4C6E7"/>
          </w:tcPr>
          <w:p w14:paraId="4337E6B4"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Subgrade CBR 2 to 3% (typically high plasticity heavy clay subgrade)</w:t>
            </w:r>
          </w:p>
        </w:tc>
        <w:tc>
          <w:tcPr>
            <w:tcW w:w="1360" w:type="dxa"/>
            <w:shd w:val="clear" w:color="auto" w:fill="FBE4D5"/>
          </w:tcPr>
          <w:p w14:paraId="529A716A"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450 mm</w:t>
            </w:r>
          </w:p>
        </w:tc>
        <w:tc>
          <w:tcPr>
            <w:tcW w:w="1361" w:type="dxa"/>
            <w:shd w:val="clear" w:color="auto" w:fill="FBE4D5"/>
          </w:tcPr>
          <w:p w14:paraId="09FDCA2D"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250 mm</w:t>
            </w:r>
          </w:p>
        </w:tc>
        <w:tc>
          <w:tcPr>
            <w:tcW w:w="1360" w:type="dxa"/>
            <w:shd w:val="clear" w:color="auto" w:fill="FBE4D5"/>
          </w:tcPr>
          <w:p w14:paraId="6841CB94"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500 mm</w:t>
            </w:r>
          </w:p>
        </w:tc>
        <w:tc>
          <w:tcPr>
            <w:tcW w:w="1361" w:type="dxa"/>
            <w:shd w:val="clear" w:color="auto" w:fill="FBE4D5"/>
          </w:tcPr>
          <w:p w14:paraId="3F2BE58D"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250 mm</w:t>
            </w:r>
          </w:p>
        </w:tc>
      </w:tr>
      <w:tr w:rsidR="00B933CA" w14:paraId="439B465D" w14:textId="77777777" w:rsidTr="002F2B15">
        <w:tc>
          <w:tcPr>
            <w:tcW w:w="3794" w:type="dxa"/>
            <w:shd w:val="clear" w:color="auto" w:fill="B4C6E7"/>
          </w:tcPr>
          <w:p w14:paraId="5D11C06A"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Subgrade CBR &gt;3 to 5% (typically medium plasticity clay subgrade)</w:t>
            </w:r>
          </w:p>
        </w:tc>
        <w:tc>
          <w:tcPr>
            <w:tcW w:w="1360" w:type="dxa"/>
            <w:shd w:val="clear" w:color="auto" w:fill="FBE4D5"/>
          </w:tcPr>
          <w:p w14:paraId="0D0F9860"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400 mm</w:t>
            </w:r>
          </w:p>
        </w:tc>
        <w:tc>
          <w:tcPr>
            <w:tcW w:w="1361" w:type="dxa"/>
            <w:shd w:val="clear" w:color="auto" w:fill="FBE4D5"/>
          </w:tcPr>
          <w:p w14:paraId="2A5543A3"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230 mm</w:t>
            </w:r>
          </w:p>
        </w:tc>
        <w:tc>
          <w:tcPr>
            <w:tcW w:w="1360" w:type="dxa"/>
            <w:shd w:val="clear" w:color="auto" w:fill="FBE4D5"/>
          </w:tcPr>
          <w:p w14:paraId="241096DD"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450 mm</w:t>
            </w:r>
          </w:p>
        </w:tc>
        <w:tc>
          <w:tcPr>
            <w:tcW w:w="1361" w:type="dxa"/>
            <w:shd w:val="clear" w:color="auto" w:fill="FBE4D5"/>
          </w:tcPr>
          <w:p w14:paraId="2B785D2D"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230 mm</w:t>
            </w:r>
          </w:p>
        </w:tc>
      </w:tr>
      <w:tr w:rsidR="00B933CA" w14:paraId="23E1CEA4" w14:textId="77777777" w:rsidTr="002F2B15">
        <w:tc>
          <w:tcPr>
            <w:tcW w:w="3794" w:type="dxa"/>
            <w:shd w:val="clear" w:color="auto" w:fill="B4C6E7"/>
          </w:tcPr>
          <w:p w14:paraId="36E72E69"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Subgrade CBR &gt;5 to 7% (typically low plasticity sandy clay subgrade with average/good constructive conditions and low water table assumed – otherwise use row above)</w:t>
            </w:r>
          </w:p>
        </w:tc>
        <w:tc>
          <w:tcPr>
            <w:tcW w:w="1360" w:type="dxa"/>
            <w:shd w:val="clear" w:color="auto" w:fill="FBE4D5"/>
          </w:tcPr>
          <w:p w14:paraId="5DEC36B4"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280 mm</w:t>
            </w:r>
          </w:p>
        </w:tc>
        <w:tc>
          <w:tcPr>
            <w:tcW w:w="1361" w:type="dxa"/>
            <w:shd w:val="clear" w:color="auto" w:fill="FBE4D5"/>
          </w:tcPr>
          <w:p w14:paraId="49FB78F2"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200 mm</w:t>
            </w:r>
          </w:p>
        </w:tc>
        <w:tc>
          <w:tcPr>
            <w:tcW w:w="1360" w:type="dxa"/>
            <w:shd w:val="clear" w:color="auto" w:fill="FBE4D5"/>
          </w:tcPr>
          <w:p w14:paraId="4F5BC8C9"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330 mm</w:t>
            </w:r>
          </w:p>
        </w:tc>
        <w:tc>
          <w:tcPr>
            <w:tcW w:w="1361" w:type="dxa"/>
            <w:shd w:val="clear" w:color="auto" w:fill="FBE4D5"/>
          </w:tcPr>
          <w:p w14:paraId="0F329DF1"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200 mm</w:t>
            </w:r>
          </w:p>
        </w:tc>
      </w:tr>
      <w:tr w:rsidR="00B933CA" w14:paraId="7357EB73" w14:textId="77777777" w:rsidTr="002F2B15">
        <w:tc>
          <w:tcPr>
            <w:tcW w:w="3794" w:type="dxa"/>
            <w:shd w:val="clear" w:color="auto" w:fill="B4C6E7"/>
          </w:tcPr>
          <w:p w14:paraId="28C123E0" w14:textId="77777777" w:rsidR="00A539A7" w:rsidRPr="00A77656" w:rsidRDefault="00E657F5" w:rsidP="00455EF9">
            <w:pPr>
              <w:rPr>
                <w:rFonts w:eastAsia="Cambria" w:cs="Arial"/>
                <w:b/>
                <w:bCs/>
                <w:sz w:val="18"/>
                <w:szCs w:val="18"/>
                <w:lang w:eastAsia="en-GB"/>
              </w:rPr>
            </w:pPr>
            <w:r w:rsidRPr="00A77656">
              <w:rPr>
                <w:rFonts w:eastAsia="Cambria" w:cs="Arial"/>
                <w:b/>
                <w:bCs/>
                <w:sz w:val="18"/>
                <w:szCs w:val="18"/>
                <w:lang w:eastAsia="en-GB"/>
              </w:rPr>
              <w:t>Subgrade CBR &gt;7 to 14% (typically sandy subgrade)</w:t>
            </w:r>
          </w:p>
        </w:tc>
        <w:tc>
          <w:tcPr>
            <w:tcW w:w="1360" w:type="dxa"/>
            <w:shd w:val="clear" w:color="auto" w:fill="FBE4D5"/>
          </w:tcPr>
          <w:p w14:paraId="148A07FE"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260 mm</w:t>
            </w:r>
          </w:p>
        </w:tc>
        <w:tc>
          <w:tcPr>
            <w:tcW w:w="1361" w:type="dxa"/>
            <w:shd w:val="clear" w:color="auto" w:fill="FBE4D5"/>
          </w:tcPr>
          <w:p w14:paraId="0E6156EB"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170 mm</w:t>
            </w:r>
          </w:p>
        </w:tc>
        <w:tc>
          <w:tcPr>
            <w:tcW w:w="1360" w:type="dxa"/>
            <w:shd w:val="clear" w:color="auto" w:fill="FBE4D5"/>
          </w:tcPr>
          <w:p w14:paraId="47503F53"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310 mm</w:t>
            </w:r>
          </w:p>
        </w:tc>
        <w:tc>
          <w:tcPr>
            <w:tcW w:w="1361" w:type="dxa"/>
            <w:shd w:val="clear" w:color="auto" w:fill="FBE4D5"/>
          </w:tcPr>
          <w:p w14:paraId="6C9A37B4" w14:textId="77777777" w:rsidR="00A539A7" w:rsidRPr="00A77656" w:rsidRDefault="00E657F5" w:rsidP="00455EF9">
            <w:pPr>
              <w:rPr>
                <w:rFonts w:eastAsia="Cambria" w:cs="Arial"/>
                <w:sz w:val="18"/>
                <w:szCs w:val="18"/>
                <w:lang w:eastAsia="en-GB"/>
              </w:rPr>
            </w:pPr>
            <w:r w:rsidRPr="00A77656">
              <w:rPr>
                <w:rFonts w:eastAsia="Cambria" w:cs="Arial"/>
                <w:sz w:val="18"/>
                <w:szCs w:val="18"/>
                <w:lang w:eastAsia="en-GB"/>
              </w:rPr>
              <w:t>170 mm</w:t>
            </w:r>
          </w:p>
        </w:tc>
      </w:tr>
    </w:tbl>
    <w:p w14:paraId="0EF08CBF" w14:textId="77777777" w:rsidR="00A539A7" w:rsidRDefault="00E657F5" w:rsidP="00A539A7">
      <w:pPr>
        <w:rPr>
          <w:lang w:eastAsia="en-GB"/>
        </w:rPr>
      </w:pPr>
      <w:r>
        <w:rPr>
          <w:lang w:eastAsia="en-GB"/>
        </w:rPr>
        <w:t xml:space="preserve">Unbound sub-base to be to MCHW </w:t>
      </w:r>
      <w:r w:rsidR="007330BE">
        <w:rPr>
          <w:lang w:eastAsia="en-GB"/>
        </w:rPr>
        <w:t>C</w:t>
      </w:r>
      <w:r>
        <w:rPr>
          <w:lang w:eastAsia="en-GB"/>
        </w:rPr>
        <w:t>lause 803, 804, 806 or 807.</w:t>
      </w:r>
    </w:p>
    <w:p w14:paraId="3D543981" w14:textId="77777777" w:rsidR="00C7334E" w:rsidRDefault="00E657F5" w:rsidP="00A539A7">
      <w:pPr>
        <w:rPr>
          <w:lang w:eastAsia="en-GB"/>
        </w:rPr>
      </w:pPr>
      <w:r w:rsidRPr="009F4138">
        <w:rPr>
          <w:lang w:eastAsia="en-GB"/>
        </w:rPr>
        <w:t>Capping to be source</w:t>
      </w:r>
      <w:r>
        <w:rPr>
          <w:lang w:eastAsia="en-GB"/>
        </w:rPr>
        <w:t xml:space="preserve">d and produced on site in accordance with </w:t>
      </w:r>
      <w:r w:rsidR="007330BE">
        <w:rPr>
          <w:lang w:eastAsia="en-GB"/>
        </w:rPr>
        <w:t>C</w:t>
      </w:r>
      <w:r>
        <w:rPr>
          <w:lang w:eastAsia="en-GB"/>
        </w:rPr>
        <w:t>lause 613.</w:t>
      </w:r>
    </w:p>
    <w:p w14:paraId="632ED397" w14:textId="77777777" w:rsidR="00014AA3" w:rsidRPr="00DD0BC8" w:rsidRDefault="00E657F5" w:rsidP="00DD0BC8">
      <w:pPr>
        <w:pBdr>
          <w:top w:val="single" w:sz="4" w:space="1" w:color="auto"/>
          <w:left w:val="single" w:sz="4" w:space="4" w:color="auto"/>
          <w:bottom w:val="single" w:sz="4" w:space="1" w:color="auto"/>
          <w:right w:val="single" w:sz="4" w:space="4" w:color="auto"/>
        </w:pBdr>
        <w:rPr>
          <w:lang w:eastAsia="en-GB"/>
        </w:rPr>
      </w:pPr>
      <w:r>
        <w:rPr>
          <w:lang w:eastAsia="en-GB"/>
        </w:rPr>
        <w:t>Approval is required to use a bound sub</w:t>
      </w:r>
      <w:r w:rsidR="00AA50C0">
        <w:rPr>
          <w:lang w:eastAsia="en-GB"/>
        </w:rPr>
        <w:t>-</w:t>
      </w:r>
      <w:r>
        <w:rPr>
          <w:lang w:eastAsia="en-GB"/>
        </w:rPr>
        <w:t>base over a capping layer.</w:t>
      </w:r>
    </w:p>
    <w:p w14:paraId="16783DDF" w14:textId="77777777" w:rsidR="00014AA3" w:rsidRDefault="00E657F5" w:rsidP="00014AA3">
      <w:pPr>
        <w:rPr>
          <w:lang w:eastAsia="en-GB"/>
        </w:rPr>
      </w:pPr>
      <w:r>
        <w:t>Where the base layer carries the development construction traffic</w:t>
      </w:r>
      <w:r>
        <w:rPr>
          <w:lang w:eastAsia="en-GB"/>
        </w:rPr>
        <w:t xml:space="preserve"> then the '&lt; 500 standard axles' column applies irrespective of development size.</w:t>
      </w:r>
    </w:p>
    <w:p w14:paraId="1DEA4AB6" w14:textId="77777777" w:rsidR="00014AA3" w:rsidRDefault="00E657F5" w:rsidP="005518EB">
      <w:pPr>
        <w:pStyle w:val="Caption"/>
        <w:jc w:val="center"/>
      </w:pPr>
      <w:bookmarkStart w:id="61" w:name="_Toc119569296"/>
      <w:bookmarkStart w:id="62" w:name="_Toc120010316"/>
      <w:r>
        <w:t xml:space="preserve">Table </w:t>
      </w:r>
      <w:r w:rsidR="00737389">
        <w:fldChar w:fldCharType="begin"/>
      </w:r>
      <w:r>
        <w:instrText xml:space="preserve"> SEQ Table \* ARABIC </w:instrText>
      </w:r>
      <w:r w:rsidR="00737389">
        <w:fldChar w:fldCharType="separate"/>
      </w:r>
      <w:r w:rsidR="00737389">
        <w:rPr>
          <w:noProof/>
        </w:rPr>
        <w:t>9</w:t>
      </w:r>
      <w:r w:rsidR="00737389">
        <w:rPr>
          <w:noProof/>
        </w:rPr>
        <w:fldChar w:fldCharType="end"/>
      </w:r>
      <w:r>
        <w:t xml:space="preserve"> - </w:t>
      </w:r>
      <w:r w:rsidRPr="000A129B">
        <w:t>Unbound sub</w:t>
      </w:r>
      <w:r w:rsidR="00AA50C0">
        <w:t>-</w:t>
      </w:r>
      <w:r w:rsidRPr="000A129B">
        <w:t>base on capping foundation thicknesses assuming the sub</w:t>
      </w:r>
      <w:r w:rsidR="00AA50C0">
        <w:t>-</w:t>
      </w:r>
      <w:r w:rsidRPr="000A129B">
        <w:t>base carries the development construction traffic and material deliveries</w:t>
      </w:r>
      <w:bookmarkEnd w:id="61"/>
      <w:bookmarkEnd w:id="62"/>
    </w:p>
    <w:p w14:paraId="4040F285" w14:textId="77777777" w:rsidR="00392C4C" w:rsidRPr="00392C4C" w:rsidRDefault="00E657F5" w:rsidP="00392C4C">
      <w:pPr>
        <w:pStyle w:val="Heading3"/>
      </w:pPr>
      <w:r>
        <w:t>Capping Materials</w:t>
      </w:r>
    </w:p>
    <w:p w14:paraId="16A4C052" w14:textId="77777777" w:rsidR="00D768F7" w:rsidRDefault="00E657F5" w:rsidP="00392C4C">
      <w:pPr>
        <w:pStyle w:val="BodyText"/>
      </w:pPr>
      <w:r>
        <w:t xml:space="preserve">Capping materials shall be sourced and produced on site and in accordance with </w:t>
      </w:r>
      <w:r w:rsidR="007330BE">
        <w:t>C</w:t>
      </w:r>
      <w:r>
        <w:t>lause 613</w:t>
      </w:r>
      <w:r w:rsidR="0007657E">
        <w:t>.</w:t>
      </w:r>
    </w:p>
    <w:p w14:paraId="4972C1C3" w14:textId="77777777" w:rsidR="00392C4C" w:rsidRPr="00392C4C" w:rsidRDefault="00E657F5" w:rsidP="00392C4C">
      <w:pPr>
        <w:pStyle w:val="BodyText"/>
      </w:pPr>
      <w:r w:rsidRPr="00392C4C">
        <w:t xml:space="preserve">If capping materials are not produced on site, then in-situ soil stabilisation shall be employed. Importing and exporting of material to and from the development produces unnecessary emissions and disruption, while also potentially using raw virgin aggregates. As such, in-situ stabilisation provides a more sustainable option and reduces vehicle movements to and from site, therefore benefitting communities local to developments. </w:t>
      </w:r>
    </w:p>
    <w:p w14:paraId="5280239D" w14:textId="77777777" w:rsidR="00DD0BC8" w:rsidRDefault="00E657F5" w:rsidP="00392C4C">
      <w:pPr>
        <w:pStyle w:val="Heading3"/>
      </w:pPr>
      <w:r>
        <w:t>Sub-base Materials</w:t>
      </w:r>
    </w:p>
    <w:p w14:paraId="18E32CB5" w14:textId="77777777" w:rsidR="00392C4C" w:rsidRPr="00392C4C" w:rsidRDefault="00E657F5" w:rsidP="00392C4C">
      <w:pPr>
        <w:pStyle w:val="BodyText"/>
      </w:pPr>
      <w:r w:rsidRPr="00392C4C">
        <w:t>Unbound sub-base materials shall comply with</w:t>
      </w:r>
      <w:r w:rsidR="00B31163">
        <w:t xml:space="preserve"> MCHW</w:t>
      </w:r>
      <w:r w:rsidRPr="00392C4C">
        <w:t xml:space="preserve"> </w:t>
      </w:r>
      <w:r w:rsidR="007330BE">
        <w:t>C</w:t>
      </w:r>
      <w:r w:rsidRPr="00392C4C">
        <w:t xml:space="preserve">lause 803, 804, 805 or 807 and shall be transported, laid, compacted, and trafficked in accordance with </w:t>
      </w:r>
      <w:r w:rsidR="007330BE">
        <w:t>C</w:t>
      </w:r>
      <w:r w:rsidRPr="00392C4C">
        <w:t>lause 802.</w:t>
      </w:r>
    </w:p>
    <w:p w14:paraId="5E36DA18" w14:textId="77777777" w:rsidR="00392C4C" w:rsidRPr="00392C4C" w:rsidRDefault="00E657F5" w:rsidP="00392C4C">
      <w:pPr>
        <w:pStyle w:val="BodyText"/>
      </w:pPr>
      <w:r w:rsidRPr="00392C4C">
        <w:t xml:space="preserve">Bound sub-base materials shall comply with </w:t>
      </w:r>
      <w:r w:rsidR="00B31163">
        <w:t xml:space="preserve">MCHW </w:t>
      </w:r>
      <w:r w:rsidR="007330BE">
        <w:t>C</w:t>
      </w:r>
      <w:r w:rsidRPr="00392C4C">
        <w:t>lause 810, 811 and 812.</w:t>
      </w:r>
    </w:p>
    <w:p w14:paraId="7959A95A" w14:textId="77777777" w:rsidR="00392C4C" w:rsidRPr="00392C4C" w:rsidRDefault="00E657F5" w:rsidP="00392C4C">
      <w:pPr>
        <w:pStyle w:val="BodyText"/>
      </w:pPr>
      <w:r w:rsidRPr="00392C4C">
        <w:t xml:space="preserve">Mixed in-plant materials shall comply with </w:t>
      </w:r>
      <w:r w:rsidR="00B31163">
        <w:t xml:space="preserve">MCHW </w:t>
      </w:r>
      <w:r w:rsidR="007330BE">
        <w:t>C</w:t>
      </w:r>
      <w:r w:rsidRPr="00392C4C">
        <w:t xml:space="preserve">lause 814, 815, 820 and </w:t>
      </w:r>
      <w:r w:rsidR="007330BE">
        <w:t>C</w:t>
      </w:r>
      <w:r w:rsidRPr="00392C4C">
        <w:t>lause 821, 822, 830, 831, 832, 834 or 835, as applicable.</w:t>
      </w:r>
    </w:p>
    <w:p w14:paraId="7FC2CB57" w14:textId="77777777" w:rsidR="00392C4C" w:rsidRPr="00392C4C" w:rsidRDefault="00E657F5" w:rsidP="00392C4C">
      <w:pPr>
        <w:pStyle w:val="BodyText"/>
      </w:pPr>
      <w:r w:rsidRPr="00392C4C">
        <w:t xml:space="preserve">Mixed in-place materials shall comply with </w:t>
      </w:r>
      <w:r w:rsidR="00B31163">
        <w:t xml:space="preserve">MCHW </w:t>
      </w:r>
      <w:r w:rsidR="007330BE">
        <w:t>C</w:t>
      </w:r>
      <w:r w:rsidRPr="00392C4C">
        <w:t xml:space="preserve">lause 816 and with </w:t>
      </w:r>
      <w:r w:rsidR="007330BE">
        <w:t>C</w:t>
      </w:r>
      <w:r w:rsidRPr="00392C4C">
        <w:t xml:space="preserve">lause 821, 822 or 840 as applicable. </w:t>
      </w:r>
    </w:p>
    <w:p w14:paraId="6EFFCD4D" w14:textId="77777777" w:rsidR="00DD0BC8" w:rsidRDefault="00E657F5" w:rsidP="00DD0BC8">
      <w:pPr>
        <w:pStyle w:val="Heading3"/>
      </w:pPr>
      <w:r>
        <w:t>Geotextiles and Geogrids</w:t>
      </w:r>
    </w:p>
    <w:p w14:paraId="6673F72F" w14:textId="77777777" w:rsidR="00DD0BC8" w:rsidRPr="00DD0BC8" w:rsidRDefault="00E657F5" w:rsidP="00DD0BC8">
      <w:pPr>
        <w:pStyle w:val="BodyText"/>
      </w:pPr>
      <w:r w:rsidRPr="00DD0BC8">
        <w:t xml:space="preserve">Geotextiles do not improve sub-grade </w:t>
      </w:r>
      <w:r w:rsidR="00182087">
        <w:t>CBR</w:t>
      </w:r>
      <w:r w:rsidRPr="00DD0BC8">
        <w:t>; they prevent the mixing of subgrade with the sub</w:t>
      </w:r>
      <w:r w:rsidR="00AA50C0">
        <w:t>-</w:t>
      </w:r>
      <w:r w:rsidRPr="00DD0BC8">
        <w:t>base and prevent subsequent loss of sub-base material</w:t>
      </w:r>
      <w:r w:rsidR="00C95DD6">
        <w:t>, particularly finer material, while</w:t>
      </w:r>
      <w:r w:rsidR="00B06C0B">
        <w:t xml:space="preserve"> geogrids provide confinement to sub-base materials to allow aggregate interlock. This </w:t>
      </w:r>
      <w:r w:rsidR="00923B24">
        <w:t xml:space="preserve">allows </w:t>
      </w:r>
      <w:r w:rsidR="00923B24" w:rsidRPr="00DD0BC8">
        <w:t>the</w:t>
      </w:r>
      <w:r w:rsidRPr="00DD0BC8">
        <w:t xml:space="preserve"> sub-base to act as intended</w:t>
      </w:r>
      <w:r w:rsidR="00B06C0B">
        <w:t>, they are however</w:t>
      </w:r>
      <w:r w:rsidRPr="00DD0BC8">
        <w:t xml:space="preserve"> not a solution that fixes a weak sub-grade</w:t>
      </w:r>
      <w:r w:rsidR="00C95DD6">
        <w:t xml:space="preserve"> as any underlying weak and unconsolidated weak sub-grade areas are still present. They are therefore a</w:t>
      </w:r>
      <w:r w:rsidRPr="00DD0BC8">
        <w:t xml:space="preserve"> means to contain pavement foundation material and prevent migration</w:t>
      </w:r>
      <w:r w:rsidR="00C95DD6">
        <w:t xml:space="preserve"> and as</w:t>
      </w:r>
      <w:r w:rsidRPr="00DD0BC8">
        <w:t xml:space="preserve"> such their use does not eliminate the need to improve the strength of the underlying sub-grade, either by installation of effective sub-surface drainage or stabilisation.</w:t>
      </w:r>
    </w:p>
    <w:p w14:paraId="09DEBBCA" w14:textId="77777777" w:rsidR="00DD0BC8" w:rsidRDefault="00E657F5" w:rsidP="00DD0BC8">
      <w:pPr>
        <w:pStyle w:val="Heading3"/>
      </w:pPr>
      <w:r>
        <w:t>Laying Sub-base</w:t>
      </w:r>
    </w:p>
    <w:p w14:paraId="40D6F592" w14:textId="77777777" w:rsidR="00DD0BC8" w:rsidRPr="00DD0BC8" w:rsidRDefault="00E657F5" w:rsidP="00DD0BC8">
      <w:pPr>
        <w:pStyle w:val="BodyText"/>
      </w:pPr>
      <w:r w:rsidRPr="00DD0BC8">
        <w:t>Granular sub-base material shall be spread by mechanical plant to an even depth which after compaction will produce a layer thickness not less than 100mm or greater than 150mm.</w:t>
      </w:r>
      <w:r w:rsidR="004E316A">
        <w:t xml:space="preserve"> Bound sub-base layer thickness shall not be less than 150mm or greater than 250mm.</w:t>
      </w:r>
    </w:p>
    <w:p w14:paraId="1197BCEE" w14:textId="77777777" w:rsidR="00DD0BC8" w:rsidRPr="00DD0BC8" w:rsidRDefault="00E657F5" w:rsidP="00DD0BC8">
      <w:pPr>
        <w:pStyle w:val="BodyText"/>
      </w:pPr>
      <w:r w:rsidRPr="00DD0BC8">
        <w:t>Compaction of each layer shall be by a 6 - 8 tonnes roller and shall be continued until the surface is well closed and free from movement under the roller.  The final layer shall be compacted to a smooth and even surface with not less than 8 passes of the roller, free from irregularities and loose material and true to cross section line and such that the surface shall be within a tolerance of +10mm and -30mm of the true level.</w:t>
      </w:r>
    </w:p>
    <w:p w14:paraId="0537B69A" w14:textId="77777777" w:rsidR="00DD0BC8" w:rsidRPr="00DD0BC8" w:rsidRDefault="00E657F5" w:rsidP="00DD0BC8">
      <w:pPr>
        <w:pStyle w:val="BodyText"/>
      </w:pPr>
      <w:r w:rsidRPr="00DD0BC8">
        <w:t xml:space="preserve">Verification of foundation surface modulus shall be undertaken via </w:t>
      </w:r>
      <w:r w:rsidR="00D85FE0">
        <w:t>Lightweight Deflectometer (</w:t>
      </w:r>
      <w:r w:rsidRPr="00DD0BC8">
        <w:t>LWD</w:t>
      </w:r>
      <w:r w:rsidR="00D85FE0">
        <w:t>) or Falling Weight Deflectometer (FWD)</w:t>
      </w:r>
      <w:r w:rsidRPr="00DD0BC8">
        <w:t xml:space="preserve"> testing. Tests shall be carried out at 10m centres in both wheel tracks. </w:t>
      </w:r>
    </w:p>
    <w:p w14:paraId="4564F801" w14:textId="77777777" w:rsidR="00DD0BC8" w:rsidRPr="00DD0BC8" w:rsidRDefault="00E657F5" w:rsidP="00DD0BC8">
      <w:pPr>
        <w:pStyle w:val="BodyText"/>
      </w:pPr>
      <w:r w:rsidRPr="00DD0BC8">
        <w:t>For unbound foundations any areas that fall below the target foundation surface modulus of 100MPa shall be subject to further compaction and re-testing.</w:t>
      </w:r>
    </w:p>
    <w:p w14:paraId="4D8B11D5" w14:textId="77777777" w:rsidR="003661B9" w:rsidRDefault="00E657F5" w:rsidP="003661B9">
      <w:pPr>
        <w:pStyle w:val="BodyText"/>
      </w:pPr>
      <w:r w:rsidRPr="00DD0BC8">
        <w:t>For bound foundations any areas that fall below the target foundation surface modulus of 100MPa shall be subject to further curing and re-testing. If the material continues to fall below the target foundation surface modulus, then those parts failing shall be replaced.</w:t>
      </w:r>
    </w:p>
    <w:p w14:paraId="6B37FF8E" w14:textId="77777777" w:rsidR="003E7B76" w:rsidRDefault="003E7B76" w:rsidP="003661B9">
      <w:pPr>
        <w:pStyle w:val="BodyText"/>
      </w:pPr>
    </w:p>
    <w:p w14:paraId="5E53C8FE" w14:textId="77777777" w:rsidR="00737389" w:rsidRDefault="00737389" w:rsidP="003661B9">
      <w:pPr>
        <w:pStyle w:val="BodyText"/>
      </w:pPr>
    </w:p>
    <w:p w14:paraId="4F52B361" w14:textId="77777777" w:rsidR="00737389" w:rsidRDefault="00737389" w:rsidP="003661B9">
      <w:pPr>
        <w:pStyle w:val="BodyText"/>
      </w:pPr>
    </w:p>
    <w:p w14:paraId="32B87ACA" w14:textId="77777777" w:rsidR="00737389" w:rsidRDefault="00737389" w:rsidP="003661B9">
      <w:pPr>
        <w:pStyle w:val="BodyText"/>
      </w:pPr>
    </w:p>
    <w:p w14:paraId="6A4B5618" w14:textId="77777777" w:rsidR="00737389" w:rsidRDefault="00737389" w:rsidP="003661B9">
      <w:pPr>
        <w:pStyle w:val="BodyText"/>
      </w:pPr>
    </w:p>
    <w:p w14:paraId="6732D831" w14:textId="77777777" w:rsidR="00737389" w:rsidRDefault="00737389" w:rsidP="003661B9">
      <w:pPr>
        <w:pStyle w:val="BodyText"/>
      </w:pPr>
    </w:p>
    <w:p w14:paraId="249CCB36" w14:textId="77777777" w:rsidR="00737389" w:rsidRDefault="00737389" w:rsidP="003661B9">
      <w:pPr>
        <w:pStyle w:val="BodyText"/>
      </w:pPr>
    </w:p>
    <w:p w14:paraId="2E2C9050" w14:textId="77777777" w:rsidR="00737389" w:rsidRDefault="00737389" w:rsidP="003661B9">
      <w:pPr>
        <w:pStyle w:val="BodyText"/>
      </w:pPr>
    </w:p>
    <w:p w14:paraId="7EA921A7" w14:textId="77777777" w:rsidR="00737389" w:rsidRDefault="00737389" w:rsidP="003661B9">
      <w:pPr>
        <w:pStyle w:val="BodyText"/>
      </w:pPr>
    </w:p>
    <w:p w14:paraId="397D06A5" w14:textId="77777777" w:rsidR="00737389" w:rsidRDefault="00737389" w:rsidP="003661B9">
      <w:pPr>
        <w:pStyle w:val="BodyText"/>
      </w:pPr>
    </w:p>
    <w:p w14:paraId="0C74AEE7" w14:textId="77777777" w:rsidR="00737389" w:rsidRPr="003661B9" w:rsidRDefault="00737389" w:rsidP="003661B9">
      <w:pPr>
        <w:pStyle w:val="BodyText"/>
      </w:pPr>
    </w:p>
    <w:p w14:paraId="736687EA" w14:textId="77777777" w:rsidR="005C3761" w:rsidRPr="003661B9" w:rsidRDefault="00E657F5" w:rsidP="005C3761">
      <w:pPr>
        <w:pStyle w:val="Heading2"/>
      </w:pPr>
      <w:r>
        <w:t>Carriageway</w:t>
      </w:r>
      <w:r w:rsidR="00014C12">
        <w:t xml:space="preserve"> Pavement and Surfacing</w:t>
      </w:r>
    </w:p>
    <w:p w14:paraId="3F791E75" w14:textId="77777777" w:rsidR="00AA6591" w:rsidRDefault="00E657F5" w:rsidP="00AA6591">
      <w:pPr>
        <w:pStyle w:val="Heading3"/>
      </w:pPr>
      <w:r>
        <w:t>Pavement Layer Thicknesses and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448"/>
        <w:gridCol w:w="1264"/>
        <w:gridCol w:w="1216"/>
        <w:gridCol w:w="1221"/>
        <w:gridCol w:w="1222"/>
        <w:gridCol w:w="1324"/>
      </w:tblGrid>
      <w:tr w:rsidR="00B933CA" w14:paraId="69AAB9A4" w14:textId="77777777" w:rsidTr="002F2B15">
        <w:trPr>
          <w:trHeight w:val="98"/>
          <w:tblHeader/>
        </w:trPr>
        <w:tc>
          <w:tcPr>
            <w:tcW w:w="0" w:type="auto"/>
            <w:tcBorders>
              <w:top w:val="single" w:sz="12" w:space="0" w:color="auto"/>
              <w:left w:val="single" w:sz="12" w:space="0" w:color="auto"/>
              <w:bottom w:val="single" w:sz="4" w:space="0" w:color="FFFFFF"/>
              <w:right w:val="single" w:sz="4" w:space="0" w:color="FFFFFF"/>
              <w:tl2br w:val="single" w:sz="4" w:space="0" w:color="auto"/>
            </w:tcBorders>
            <w:shd w:val="clear" w:color="auto" w:fill="8EAADB"/>
          </w:tcPr>
          <w:p w14:paraId="2492517C" w14:textId="77777777" w:rsidR="005C3761" w:rsidRPr="00960097" w:rsidRDefault="00E657F5" w:rsidP="005C3761">
            <w:pPr>
              <w:jc w:val="center"/>
              <w:rPr>
                <w:rFonts w:eastAsia="Cambria" w:cs="Arial"/>
                <w:b/>
                <w:bCs/>
                <w:sz w:val="18"/>
                <w:szCs w:val="18"/>
                <w:lang w:eastAsia="en-GB"/>
              </w:rPr>
            </w:pPr>
            <w:r>
              <w:rPr>
                <w:rFonts w:eastAsia="Cambria" w:cs="Arial"/>
                <w:b/>
                <w:bCs/>
                <w:sz w:val="18"/>
                <w:szCs w:val="18"/>
                <w:lang w:eastAsia="en-GB"/>
              </w:rPr>
              <w:t>Carriageway</w:t>
            </w:r>
            <w:r w:rsidR="00F827A6">
              <w:rPr>
                <w:rFonts w:eastAsia="Cambria" w:cs="Arial"/>
                <w:b/>
                <w:bCs/>
                <w:sz w:val="18"/>
                <w:szCs w:val="18"/>
                <w:lang w:eastAsia="en-GB"/>
              </w:rPr>
              <w:t xml:space="preserve">  </w:t>
            </w:r>
            <w:r w:rsidR="00502DB5">
              <w:rPr>
                <w:rFonts w:eastAsia="Cambria" w:cs="Arial"/>
                <w:b/>
                <w:bCs/>
                <w:sz w:val="18"/>
                <w:szCs w:val="18"/>
                <w:lang w:eastAsia="en-GB"/>
              </w:rPr>
              <w:t>description</w:t>
            </w:r>
          </w:p>
          <w:p w14:paraId="1C4CD9DE" w14:textId="77777777" w:rsidR="005C3761" w:rsidRPr="00960097" w:rsidRDefault="005C3761" w:rsidP="005C3761">
            <w:pPr>
              <w:rPr>
                <w:rFonts w:eastAsia="Cambria" w:cs="Arial"/>
                <w:b/>
                <w:bCs/>
                <w:sz w:val="18"/>
                <w:szCs w:val="18"/>
                <w:lang w:eastAsia="en-GB"/>
              </w:rPr>
            </w:pPr>
          </w:p>
          <w:p w14:paraId="4B4EC8A1" w14:textId="77777777" w:rsidR="005C3761" w:rsidRPr="00960097" w:rsidRDefault="005C3761" w:rsidP="005C3761">
            <w:pPr>
              <w:rPr>
                <w:rFonts w:eastAsia="Cambria" w:cs="Arial"/>
                <w:b/>
                <w:bCs/>
                <w:sz w:val="18"/>
                <w:szCs w:val="18"/>
                <w:lang w:eastAsia="en-GB"/>
              </w:rPr>
            </w:pPr>
          </w:p>
          <w:p w14:paraId="28739E0F" w14:textId="77777777" w:rsidR="00ED4B73" w:rsidRDefault="00ED4B73" w:rsidP="005C3761">
            <w:pPr>
              <w:rPr>
                <w:rFonts w:eastAsia="Cambria" w:cs="Arial"/>
                <w:b/>
                <w:bCs/>
                <w:sz w:val="18"/>
                <w:szCs w:val="18"/>
                <w:lang w:eastAsia="en-GB"/>
              </w:rPr>
            </w:pPr>
          </w:p>
          <w:p w14:paraId="7683698E" w14:textId="77777777" w:rsidR="00ED4B73" w:rsidRDefault="00ED4B73" w:rsidP="005C3761">
            <w:pPr>
              <w:rPr>
                <w:rFonts w:eastAsia="Cambria" w:cs="Arial"/>
                <w:b/>
                <w:bCs/>
                <w:sz w:val="18"/>
                <w:szCs w:val="18"/>
                <w:lang w:eastAsia="en-GB"/>
              </w:rPr>
            </w:pPr>
          </w:p>
          <w:p w14:paraId="2A757110" w14:textId="77777777" w:rsidR="005C3761" w:rsidRPr="00960097" w:rsidRDefault="00E657F5" w:rsidP="005C3761">
            <w:pPr>
              <w:rPr>
                <w:rFonts w:eastAsia="Cambria" w:cs="Arial"/>
                <w:b/>
                <w:bCs/>
                <w:sz w:val="18"/>
                <w:szCs w:val="18"/>
                <w:lang w:eastAsia="en-GB"/>
              </w:rPr>
            </w:pPr>
            <w:r w:rsidRPr="00960097">
              <w:rPr>
                <w:rFonts w:eastAsia="Cambria" w:cs="Arial"/>
                <w:b/>
                <w:bCs/>
                <w:sz w:val="18"/>
                <w:szCs w:val="18"/>
                <w:lang w:eastAsia="en-GB"/>
              </w:rPr>
              <w:t>Layer</w:t>
            </w:r>
          </w:p>
        </w:tc>
        <w:tc>
          <w:tcPr>
            <w:tcW w:w="0" w:type="auto"/>
            <w:gridSpan w:val="2"/>
            <w:tcBorders>
              <w:top w:val="single" w:sz="12" w:space="0" w:color="auto"/>
              <w:left w:val="single" w:sz="4" w:space="0" w:color="FFFFFF"/>
              <w:bottom w:val="single" w:sz="18" w:space="0" w:color="auto"/>
            </w:tcBorders>
            <w:shd w:val="clear" w:color="auto" w:fill="8EAADB"/>
          </w:tcPr>
          <w:p w14:paraId="767F2BAE" w14:textId="77777777" w:rsidR="005C3761" w:rsidRPr="00960097" w:rsidRDefault="005C3761" w:rsidP="005C3761">
            <w:pPr>
              <w:rPr>
                <w:rFonts w:eastAsia="Cambria" w:cs="Arial"/>
                <w:b/>
                <w:bCs/>
                <w:sz w:val="18"/>
                <w:szCs w:val="18"/>
                <w:lang w:eastAsia="en-GB"/>
              </w:rPr>
            </w:pPr>
          </w:p>
        </w:tc>
        <w:tc>
          <w:tcPr>
            <w:tcW w:w="0" w:type="auto"/>
            <w:tcBorders>
              <w:top w:val="single" w:sz="12" w:space="0" w:color="auto"/>
              <w:bottom w:val="single" w:sz="18" w:space="0" w:color="auto"/>
            </w:tcBorders>
            <w:shd w:val="clear" w:color="auto" w:fill="8EAADB"/>
          </w:tcPr>
          <w:p w14:paraId="07BBAD3F" w14:textId="77777777" w:rsidR="005C3761" w:rsidRPr="00960097" w:rsidRDefault="00E657F5" w:rsidP="005C3761">
            <w:pPr>
              <w:pStyle w:val="Pa23"/>
              <w:jc w:val="both"/>
              <w:rPr>
                <w:rFonts w:ascii="Arial" w:hAnsi="Arial" w:cs="Arial"/>
                <w:b/>
                <w:bCs/>
                <w:sz w:val="18"/>
                <w:szCs w:val="18"/>
              </w:rPr>
            </w:pPr>
            <w:r w:rsidRPr="00960097">
              <w:rPr>
                <w:rFonts w:ascii="Arial" w:hAnsi="Arial" w:cs="Arial"/>
                <w:b/>
                <w:bCs/>
                <w:color w:val="000000"/>
                <w:sz w:val="18"/>
                <w:szCs w:val="18"/>
              </w:rPr>
              <w:t>Access ways, mews courts, access collectors</w:t>
            </w:r>
          </w:p>
        </w:tc>
        <w:tc>
          <w:tcPr>
            <w:tcW w:w="0" w:type="auto"/>
            <w:tcBorders>
              <w:top w:val="single" w:sz="12" w:space="0" w:color="auto"/>
              <w:bottom w:val="single" w:sz="18" w:space="0" w:color="auto"/>
            </w:tcBorders>
            <w:shd w:val="clear" w:color="auto" w:fill="8EAADB"/>
          </w:tcPr>
          <w:p w14:paraId="45F20741" w14:textId="77777777" w:rsidR="005C3761" w:rsidRPr="00960097" w:rsidRDefault="00E657F5" w:rsidP="009B3143">
            <w:pPr>
              <w:pStyle w:val="Pa23"/>
              <w:jc w:val="both"/>
              <w:rPr>
                <w:rFonts w:cs="Arial"/>
                <w:b/>
                <w:bCs/>
                <w:sz w:val="18"/>
                <w:szCs w:val="18"/>
              </w:rPr>
            </w:pPr>
            <w:r w:rsidRPr="00960097">
              <w:rPr>
                <w:rFonts w:ascii="Arial" w:hAnsi="Arial" w:cs="Arial"/>
                <w:b/>
                <w:bCs/>
                <w:color w:val="000000"/>
                <w:sz w:val="18"/>
                <w:szCs w:val="18"/>
              </w:rPr>
              <w:t>Local distributors</w:t>
            </w:r>
          </w:p>
        </w:tc>
        <w:tc>
          <w:tcPr>
            <w:tcW w:w="0" w:type="auto"/>
            <w:tcBorders>
              <w:top w:val="single" w:sz="12" w:space="0" w:color="auto"/>
              <w:bottom w:val="single" w:sz="18" w:space="0" w:color="auto"/>
            </w:tcBorders>
            <w:shd w:val="clear" w:color="auto" w:fill="8EAADB"/>
          </w:tcPr>
          <w:p w14:paraId="710D1962" w14:textId="77777777" w:rsidR="005C3761" w:rsidRPr="00960097" w:rsidRDefault="00E657F5" w:rsidP="005C3761">
            <w:pPr>
              <w:pStyle w:val="Pa23"/>
              <w:jc w:val="both"/>
              <w:rPr>
                <w:rFonts w:ascii="Arial" w:hAnsi="Arial" w:cs="Arial"/>
                <w:b/>
                <w:bCs/>
                <w:sz w:val="18"/>
                <w:szCs w:val="18"/>
              </w:rPr>
            </w:pPr>
            <w:r w:rsidRPr="00960097">
              <w:rPr>
                <w:rFonts w:ascii="Arial" w:hAnsi="Arial" w:cs="Arial"/>
                <w:b/>
                <w:bCs/>
                <w:color w:val="000000"/>
                <w:sz w:val="18"/>
                <w:szCs w:val="18"/>
              </w:rPr>
              <w:t>District distributors</w:t>
            </w:r>
          </w:p>
          <w:p w14:paraId="1E93BD77" w14:textId="77777777" w:rsidR="005C3761" w:rsidRPr="00960097" w:rsidRDefault="005C3761" w:rsidP="005C3761">
            <w:pPr>
              <w:rPr>
                <w:rFonts w:cs="Arial"/>
                <w:b/>
                <w:bCs/>
                <w:sz w:val="18"/>
                <w:szCs w:val="18"/>
                <w:lang w:eastAsia="en-GB"/>
              </w:rPr>
            </w:pPr>
          </w:p>
        </w:tc>
        <w:tc>
          <w:tcPr>
            <w:tcW w:w="0" w:type="auto"/>
            <w:tcBorders>
              <w:top w:val="single" w:sz="12" w:space="0" w:color="auto"/>
              <w:bottom w:val="single" w:sz="18" w:space="0" w:color="auto"/>
              <w:right w:val="single" w:sz="12" w:space="0" w:color="auto"/>
            </w:tcBorders>
            <w:shd w:val="clear" w:color="auto" w:fill="8EAADB"/>
          </w:tcPr>
          <w:p w14:paraId="24D83142" w14:textId="77777777" w:rsidR="005C3761" w:rsidRPr="00960097" w:rsidRDefault="00E657F5" w:rsidP="005C3761">
            <w:pPr>
              <w:pStyle w:val="Pa23"/>
              <w:jc w:val="both"/>
              <w:rPr>
                <w:rFonts w:ascii="Arial" w:hAnsi="Arial" w:cs="Arial"/>
                <w:b/>
                <w:bCs/>
                <w:sz w:val="18"/>
                <w:szCs w:val="18"/>
              </w:rPr>
            </w:pPr>
            <w:r w:rsidRPr="00960097">
              <w:rPr>
                <w:rFonts w:ascii="Arial" w:hAnsi="Arial" w:cs="Arial"/>
                <w:b/>
                <w:bCs/>
                <w:color w:val="000000"/>
                <w:sz w:val="18"/>
                <w:szCs w:val="18"/>
              </w:rPr>
              <w:t>Major distributors. Access roads to lorry parks or roads within commercial and industrial estates</w:t>
            </w:r>
            <w:r w:rsidR="007A6DAA" w:rsidRPr="00960097">
              <w:rPr>
                <w:rFonts w:ascii="Arial" w:hAnsi="Arial" w:cs="Arial"/>
                <w:b/>
                <w:bCs/>
                <w:color w:val="000000"/>
                <w:sz w:val="18"/>
                <w:szCs w:val="18"/>
                <w:vertAlign w:val="superscript"/>
              </w:rPr>
              <w:t>1</w:t>
            </w:r>
          </w:p>
          <w:p w14:paraId="14E67F34" w14:textId="77777777" w:rsidR="005C3761" w:rsidRPr="00960097" w:rsidRDefault="005C3761" w:rsidP="005C3761">
            <w:pPr>
              <w:rPr>
                <w:rFonts w:cs="Arial"/>
                <w:b/>
                <w:bCs/>
                <w:sz w:val="18"/>
                <w:szCs w:val="18"/>
                <w:lang w:eastAsia="en-GB"/>
              </w:rPr>
            </w:pPr>
          </w:p>
        </w:tc>
      </w:tr>
      <w:tr w:rsidR="00B933CA" w14:paraId="2BC2670A" w14:textId="77777777" w:rsidTr="002F2B15">
        <w:trPr>
          <w:trHeight w:val="20"/>
        </w:trPr>
        <w:tc>
          <w:tcPr>
            <w:tcW w:w="0" w:type="auto"/>
            <w:vMerge w:val="restart"/>
            <w:tcBorders>
              <w:top w:val="single" w:sz="4" w:space="0" w:color="FFFFFF"/>
              <w:left w:val="single" w:sz="12" w:space="0" w:color="auto"/>
              <w:right w:val="single" w:sz="18" w:space="0" w:color="auto"/>
            </w:tcBorders>
            <w:shd w:val="clear" w:color="auto" w:fill="8EAADB"/>
          </w:tcPr>
          <w:p w14:paraId="55A0BAEB" w14:textId="77777777" w:rsidR="005C3761" w:rsidRPr="00960097" w:rsidRDefault="005C3761" w:rsidP="005C3761">
            <w:pPr>
              <w:rPr>
                <w:rFonts w:eastAsia="Cambria" w:cs="Arial"/>
                <w:b/>
                <w:bCs/>
                <w:sz w:val="18"/>
                <w:szCs w:val="18"/>
                <w:lang w:eastAsia="en-GB"/>
              </w:rPr>
            </w:pPr>
          </w:p>
        </w:tc>
        <w:tc>
          <w:tcPr>
            <w:tcW w:w="0" w:type="auto"/>
            <w:vMerge w:val="restart"/>
            <w:tcBorders>
              <w:top w:val="single" w:sz="18" w:space="0" w:color="auto"/>
              <w:left w:val="single" w:sz="18" w:space="0" w:color="auto"/>
            </w:tcBorders>
            <w:shd w:val="clear" w:color="auto" w:fill="B4C6E7"/>
            <w:vAlign w:val="center"/>
          </w:tcPr>
          <w:p w14:paraId="122FAA42" w14:textId="77777777" w:rsidR="005C3761" w:rsidRPr="00960097" w:rsidRDefault="00E657F5" w:rsidP="005C3761">
            <w:pPr>
              <w:rPr>
                <w:rFonts w:eastAsia="Cambria" w:cs="Arial"/>
                <w:sz w:val="18"/>
                <w:szCs w:val="18"/>
                <w:lang w:eastAsia="en-GB"/>
              </w:rPr>
            </w:pPr>
            <w:r w:rsidRPr="00960097">
              <w:rPr>
                <w:rFonts w:eastAsia="Cambria" w:cs="Arial"/>
                <w:sz w:val="18"/>
                <w:szCs w:val="18"/>
                <w:lang w:eastAsia="en-GB"/>
              </w:rPr>
              <w:t>Typical Traffic Levels</w:t>
            </w:r>
          </w:p>
        </w:tc>
        <w:tc>
          <w:tcPr>
            <w:tcW w:w="0" w:type="auto"/>
            <w:tcBorders>
              <w:top w:val="single" w:sz="18" w:space="0" w:color="auto"/>
            </w:tcBorders>
            <w:shd w:val="clear" w:color="auto" w:fill="B4C6E7"/>
            <w:vAlign w:val="center"/>
          </w:tcPr>
          <w:p w14:paraId="49A35422" w14:textId="77777777" w:rsidR="005C3761" w:rsidRPr="00960097" w:rsidRDefault="00E657F5" w:rsidP="005C3761">
            <w:pPr>
              <w:rPr>
                <w:rFonts w:eastAsia="Cambria" w:cs="Arial"/>
                <w:sz w:val="18"/>
                <w:szCs w:val="18"/>
                <w:lang w:eastAsia="en-GB"/>
              </w:rPr>
            </w:pPr>
            <w:r w:rsidRPr="00960097">
              <w:rPr>
                <w:rFonts w:eastAsia="Cambria" w:cs="Arial"/>
                <w:sz w:val="18"/>
                <w:szCs w:val="18"/>
                <w:lang w:eastAsia="en-GB"/>
              </w:rPr>
              <w:t>Commercial Vehicles/day</w:t>
            </w:r>
          </w:p>
        </w:tc>
        <w:tc>
          <w:tcPr>
            <w:tcW w:w="0" w:type="auto"/>
            <w:tcBorders>
              <w:top w:val="single" w:sz="18" w:space="0" w:color="auto"/>
            </w:tcBorders>
            <w:shd w:val="clear" w:color="auto" w:fill="B4C6E7"/>
            <w:vAlign w:val="center"/>
          </w:tcPr>
          <w:p w14:paraId="19DF71FF"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Up to 15</w:t>
            </w:r>
          </w:p>
        </w:tc>
        <w:tc>
          <w:tcPr>
            <w:tcW w:w="0" w:type="auto"/>
            <w:tcBorders>
              <w:top w:val="single" w:sz="18" w:space="0" w:color="auto"/>
            </w:tcBorders>
            <w:shd w:val="clear" w:color="auto" w:fill="B4C6E7"/>
            <w:vAlign w:val="center"/>
          </w:tcPr>
          <w:p w14:paraId="2C250EB7"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Up to 75</w:t>
            </w:r>
          </w:p>
        </w:tc>
        <w:tc>
          <w:tcPr>
            <w:tcW w:w="0" w:type="auto"/>
            <w:tcBorders>
              <w:top w:val="single" w:sz="18" w:space="0" w:color="auto"/>
            </w:tcBorders>
            <w:shd w:val="clear" w:color="auto" w:fill="B4C6E7"/>
            <w:vAlign w:val="center"/>
          </w:tcPr>
          <w:p w14:paraId="24B25C79"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Up to 150</w:t>
            </w:r>
          </w:p>
        </w:tc>
        <w:tc>
          <w:tcPr>
            <w:tcW w:w="0" w:type="auto"/>
            <w:tcBorders>
              <w:top w:val="single" w:sz="18" w:space="0" w:color="auto"/>
              <w:right w:val="single" w:sz="12" w:space="0" w:color="auto"/>
            </w:tcBorders>
            <w:shd w:val="clear" w:color="auto" w:fill="B4C6E7"/>
            <w:vAlign w:val="center"/>
          </w:tcPr>
          <w:p w14:paraId="69924733"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Up to 300</w:t>
            </w:r>
          </w:p>
        </w:tc>
      </w:tr>
      <w:tr w:rsidR="00B933CA" w14:paraId="66166A93" w14:textId="77777777" w:rsidTr="002F2B15">
        <w:trPr>
          <w:trHeight w:val="8"/>
        </w:trPr>
        <w:tc>
          <w:tcPr>
            <w:tcW w:w="0" w:type="auto"/>
            <w:vMerge/>
            <w:tcBorders>
              <w:left w:val="single" w:sz="12" w:space="0" w:color="auto"/>
              <w:right w:val="single" w:sz="18" w:space="0" w:color="auto"/>
            </w:tcBorders>
            <w:shd w:val="clear" w:color="auto" w:fill="8EAADB"/>
          </w:tcPr>
          <w:p w14:paraId="5BF7B99B" w14:textId="77777777" w:rsidR="005C3761" w:rsidRPr="00960097" w:rsidRDefault="005C3761" w:rsidP="005C3761">
            <w:pPr>
              <w:rPr>
                <w:rFonts w:eastAsia="Cambria" w:cs="Arial"/>
                <w:b/>
                <w:bCs/>
                <w:sz w:val="18"/>
                <w:szCs w:val="18"/>
                <w:lang w:eastAsia="en-GB"/>
              </w:rPr>
            </w:pPr>
          </w:p>
        </w:tc>
        <w:tc>
          <w:tcPr>
            <w:tcW w:w="0" w:type="auto"/>
            <w:vMerge/>
            <w:tcBorders>
              <w:left w:val="single" w:sz="18" w:space="0" w:color="auto"/>
            </w:tcBorders>
            <w:shd w:val="clear" w:color="auto" w:fill="B4C6E7"/>
          </w:tcPr>
          <w:p w14:paraId="49985A62" w14:textId="77777777" w:rsidR="005C3761" w:rsidRPr="00960097" w:rsidRDefault="005C3761" w:rsidP="005C3761">
            <w:pPr>
              <w:rPr>
                <w:rFonts w:eastAsia="Cambria" w:cs="Arial"/>
                <w:sz w:val="18"/>
                <w:szCs w:val="18"/>
                <w:lang w:eastAsia="en-GB"/>
              </w:rPr>
            </w:pPr>
          </w:p>
        </w:tc>
        <w:tc>
          <w:tcPr>
            <w:tcW w:w="0" w:type="auto"/>
            <w:shd w:val="clear" w:color="auto" w:fill="B4C6E7"/>
            <w:vAlign w:val="center"/>
          </w:tcPr>
          <w:p w14:paraId="74D02ABB" w14:textId="77777777" w:rsidR="005C3761" w:rsidRPr="00960097" w:rsidRDefault="00E657F5" w:rsidP="005C3761">
            <w:pPr>
              <w:rPr>
                <w:rFonts w:eastAsia="Cambria" w:cs="Arial"/>
                <w:sz w:val="18"/>
                <w:szCs w:val="18"/>
                <w:lang w:eastAsia="en-GB"/>
              </w:rPr>
            </w:pPr>
            <w:r w:rsidRPr="00960097">
              <w:rPr>
                <w:rFonts w:eastAsia="Cambria" w:cs="Arial"/>
                <w:sz w:val="18"/>
                <w:szCs w:val="18"/>
                <w:lang w:eastAsia="en-GB"/>
              </w:rPr>
              <w:t>Public service vehicles/day</w:t>
            </w:r>
          </w:p>
        </w:tc>
        <w:tc>
          <w:tcPr>
            <w:tcW w:w="0" w:type="auto"/>
            <w:shd w:val="clear" w:color="auto" w:fill="B4C6E7"/>
            <w:vAlign w:val="center"/>
          </w:tcPr>
          <w:p w14:paraId="71042C8F"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None</w:t>
            </w:r>
          </w:p>
        </w:tc>
        <w:tc>
          <w:tcPr>
            <w:tcW w:w="0" w:type="auto"/>
            <w:shd w:val="clear" w:color="auto" w:fill="B4C6E7"/>
            <w:vAlign w:val="center"/>
          </w:tcPr>
          <w:p w14:paraId="482E680E"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Up to 25</w:t>
            </w:r>
          </w:p>
        </w:tc>
        <w:tc>
          <w:tcPr>
            <w:tcW w:w="0" w:type="auto"/>
            <w:shd w:val="clear" w:color="auto" w:fill="B4C6E7"/>
            <w:vAlign w:val="center"/>
          </w:tcPr>
          <w:p w14:paraId="375AAF89"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Up to 50</w:t>
            </w:r>
          </w:p>
        </w:tc>
        <w:tc>
          <w:tcPr>
            <w:tcW w:w="0" w:type="auto"/>
            <w:tcBorders>
              <w:right w:val="single" w:sz="12" w:space="0" w:color="auto"/>
            </w:tcBorders>
            <w:shd w:val="clear" w:color="auto" w:fill="B4C6E7"/>
            <w:vAlign w:val="center"/>
          </w:tcPr>
          <w:p w14:paraId="2D0CFB6E"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Up to 100</w:t>
            </w:r>
          </w:p>
        </w:tc>
      </w:tr>
      <w:tr w:rsidR="00B933CA" w14:paraId="6212130D" w14:textId="77777777" w:rsidTr="002F2B15">
        <w:trPr>
          <w:trHeight w:val="8"/>
        </w:trPr>
        <w:tc>
          <w:tcPr>
            <w:tcW w:w="0" w:type="auto"/>
            <w:vMerge/>
            <w:tcBorders>
              <w:left w:val="single" w:sz="12" w:space="0" w:color="auto"/>
              <w:bottom w:val="single" w:sz="4" w:space="0" w:color="auto"/>
              <w:right w:val="single" w:sz="18" w:space="0" w:color="auto"/>
            </w:tcBorders>
            <w:shd w:val="clear" w:color="auto" w:fill="8EAADB"/>
          </w:tcPr>
          <w:p w14:paraId="05036B6A" w14:textId="77777777" w:rsidR="005C3761" w:rsidRPr="00960097" w:rsidRDefault="005C3761" w:rsidP="005C3761">
            <w:pPr>
              <w:rPr>
                <w:rFonts w:eastAsia="Cambria" w:cs="Arial"/>
                <w:b/>
                <w:bCs/>
                <w:sz w:val="18"/>
                <w:szCs w:val="18"/>
                <w:lang w:eastAsia="en-GB"/>
              </w:rPr>
            </w:pPr>
          </w:p>
        </w:tc>
        <w:tc>
          <w:tcPr>
            <w:tcW w:w="0" w:type="auto"/>
            <w:vMerge/>
            <w:tcBorders>
              <w:left w:val="single" w:sz="18" w:space="0" w:color="auto"/>
              <w:bottom w:val="single" w:sz="18" w:space="0" w:color="auto"/>
            </w:tcBorders>
            <w:shd w:val="clear" w:color="auto" w:fill="B4C6E7"/>
          </w:tcPr>
          <w:p w14:paraId="6F3C6519" w14:textId="77777777" w:rsidR="005C3761" w:rsidRPr="00960097" w:rsidRDefault="005C3761" w:rsidP="005C3761">
            <w:pPr>
              <w:rPr>
                <w:rFonts w:eastAsia="Cambria" w:cs="Arial"/>
                <w:sz w:val="18"/>
                <w:szCs w:val="18"/>
                <w:lang w:eastAsia="en-GB"/>
              </w:rPr>
            </w:pPr>
          </w:p>
        </w:tc>
        <w:tc>
          <w:tcPr>
            <w:tcW w:w="0" w:type="auto"/>
            <w:tcBorders>
              <w:bottom w:val="single" w:sz="18" w:space="0" w:color="auto"/>
            </w:tcBorders>
            <w:shd w:val="clear" w:color="auto" w:fill="B4C6E7"/>
            <w:vAlign w:val="center"/>
          </w:tcPr>
          <w:p w14:paraId="7AFF54A2" w14:textId="77777777" w:rsidR="005C3761" w:rsidRPr="00960097" w:rsidRDefault="00E657F5" w:rsidP="005C3761">
            <w:pPr>
              <w:rPr>
                <w:rFonts w:eastAsia="Cambria" w:cs="Arial"/>
                <w:sz w:val="18"/>
                <w:szCs w:val="18"/>
                <w:lang w:eastAsia="en-GB"/>
              </w:rPr>
            </w:pPr>
            <w:r w:rsidRPr="00960097">
              <w:rPr>
                <w:rFonts w:eastAsia="Cambria" w:cs="Arial"/>
                <w:sz w:val="18"/>
                <w:szCs w:val="18"/>
                <w:lang w:eastAsia="en-GB"/>
              </w:rPr>
              <w:t>msa band</w:t>
            </w:r>
          </w:p>
        </w:tc>
        <w:tc>
          <w:tcPr>
            <w:tcW w:w="0" w:type="auto"/>
            <w:tcBorders>
              <w:bottom w:val="single" w:sz="18" w:space="0" w:color="auto"/>
            </w:tcBorders>
            <w:shd w:val="clear" w:color="auto" w:fill="B4C6E7"/>
            <w:vAlign w:val="center"/>
          </w:tcPr>
          <w:p w14:paraId="305EC210"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&lt; 0.5</w:t>
            </w:r>
          </w:p>
        </w:tc>
        <w:tc>
          <w:tcPr>
            <w:tcW w:w="0" w:type="auto"/>
            <w:tcBorders>
              <w:bottom w:val="single" w:sz="18" w:space="0" w:color="auto"/>
            </w:tcBorders>
            <w:shd w:val="clear" w:color="auto" w:fill="B4C6E7"/>
            <w:vAlign w:val="center"/>
          </w:tcPr>
          <w:p w14:paraId="3E47B95A"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0.5 – 2.5</w:t>
            </w:r>
          </w:p>
        </w:tc>
        <w:tc>
          <w:tcPr>
            <w:tcW w:w="0" w:type="auto"/>
            <w:tcBorders>
              <w:bottom w:val="single" w:sz="18" w:space="0" w:color="auto"/>
            </w:tcBorders>
            <w:shd w:val="clear" w:color="auto" w:fill="B4C6E7"/>
            <w:vAlign w:val="center"/>
          </w:tcPr>
          <w:p w14:paraId="609E8DDB"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2.5 - 5</w:t>
            </w:r>
          </w:p>
        </w:tc>
        <w:tc>
          <w:tcPr>
            <w:tcW w:w="0" w:type="auto"/>
            <w:tcBorders>
              <w:bottom w:val="single" w:sz="18" w:space="0" w:color="auto"/>
              <w:right w:val="single" w:sz="12" w:space="0" w:color="auto"/>
            </w:tcBorders>
            <w:shd w:val="clear" w:color="auto" w:fill="B4C6E7"/>
            <w:vAlign w:val="center"/>
          </w:tcPr>
          <w:p w14:paraId="3DB4F46F"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5 -10</w:t>
            </w:r>
          </w:p>
        </w:tc>
      </w:tr>
      <w:tr w:rsidR="00B933CA" w14:paraId="71F3D07A" w14:textId="77777777" w:rsidTr="002F2B15">
        <w:trPr>
          <w:trHeight w:val="33"/>
        </w:trPr>
        <w:tc>
          <w:tcPr>
            <w:tcW w:w="0" w:type="auto"/>
            <w:vMerge w:val="restart"/>
            <w:tcBorders>
              <w:top w:val="single" w:sz="18" w:space="0" w:color="auto"/>
              <w:left w:val="single" w:sz="12" w:space="0" w:color="auto"/>
              <w:right w:val="single" w:sz="18" w:space="0" w:color="auto"/>
            </w:tcBorders>
            <w:shd w:val="clear" w:color="auto" w:fill="8EAADB"/>
            <w:vAlign w:val="center"/>
          </w:tcPr>
          <w:p w14:paraId="6A71B38F" w14:textId="77777777" w:rsidR="005C3761" w:rsidRPr="00960097" w:rsidRDefault="00E657F5" w:rsidP="005C3761">
            <w:pPr>
              <w:rPr>
                <w:rFonts w:eastAsia="Cambria" w:cs="Arial"/>
                <w:b/>
                <w:bCs/>
                <w:sz w:val="18"/>
                <w:szCs w:val="18"/>
                <w:lang w:eastAsia="en-GB"/>
              </w:rPr>
            </w:pPr>
            <w:r w:rsidRPr="00960097">
              <w:rPr>
                <w:rFonts w:eastAsia="Cambria" w:cs="Arial"/>
                <w:b/>
                <w:bCs/>
                <w:sz w:val="18"/>
                <w:szCs w:val="18"/>
                <w:lang w:eastAsia="en-GB"/>
              </w:rPr>
              <w:t>Base Course</w:t>
            </w:r>
          </w:p>
        </w:tc>
        <w:tc>
          <w:tcPr>
            <w:tcW w:w="0" w:type="auto"/>
            <w:vMerge w:val="restart"/>
            <w:tcBorders>
              <w:top w:val="single" w:sz="18" w:space="0" w:color="auto"/>
              <w:left w:val="single" w:sz="18" w:space="0" w:color="auto"/>
            </w:tcBorders>
            <w:shd w:val="clear" w:color="auto" w:fill="FBE4D5"/>
            <w:vAlign w:val="center"/>
          </w:tcPr>
          <w:p w14:paraId="27026CFC" w14:textId="77777777" w:rsidR="005C3761" w:rsidRPr="00960097" w:rsidRDefault="00E657F5" w:rsidP="005C3761">
            <w:pPr>
              <w:rPr>
                <w:rFonts w:eastAsia="Cambria" w:cs="Arial"/>
                <w:sz w:val="18"/>
                <w:szCs w:val="18"/>
                <w:lang w:eastAsia="en-GB"/>
              </w:rPr>
            </w:pPr>
            <w:r>
              <w:rPr>
                <w:rFonts w:eastAsia="Cambria" w:cs="Arial"/>
                <w:sz w:val="18"/>
                <w:szCs w:val="18"/>
                <w:lang w:eastAsia="en-GB"/>
              </w:rPr>
              <w:t>Cement Bound Granular M</w:t>
            </w:r>
            <w:r w:rsidR="009A194C">
              <w:rPr>
                <w:rFonts w:eastAsia="Cambria" w:cs="Arial"/>
                <w:sz w:val="18"/>
                <w:szCs w:val="18"/>
                <w:lang w:eastAsia="en-GB"/>
              </w:rPr>
              <w:t xml:space="preserve">ixtures </w:t>
            </w:r>
            <w:r>
              <w:rPr>
                <w:rFonts w:eastAsia="Cambria" w:cs="Arial"/>
                <w:sz w:val="18"/>
                <w:szCs w:val="18"/>
                <w:lang w:eastAsia="en-GB"/>
              </w:rPr>
              <w:t xml:space="preserve">(CBGM) and </w:t>
            </w:r>
            <w:r w:rsidR="00DF4D28" w:rsidRPr="00960097">
              <w:rPr>
                <w:rFonts w:eastAsia="Cambria" w:cs="Arial"/>
                <w:sz w:val="18"/>
                <w:szCs w:val="18"/>
                <w:lang w:eastAsia="en-GB"/>
              </w:rPr>
              <w:t>Hydraulic</w:t>
            </w:r>
            <w:r w:rsidR="00DF4D28">
              <w:rPr>
                <w:rFonts w:eastAsia="Cambria" w:cs="Arial"/>
                <w:sz w:val="18"/>
                <w:szCs w:val="18"/>
                <w:lang w:eastAsia="en-GB"/>
              </w:rPr>
              <w:t>ally</w:t>
            </w:r>
            <w:r w:rsidRPr="00960097">
              <w:rPr>
                <w:rFonts w:eastAsia="Cambria" w:cs="Arial"/>
                <w:sz w:val="18"/>
                <w:szCs w:val="18"/>
                <w:lang w:eastAsia="en-GB"/>
              </w:rPr>
              <w:t xml:space="preserve"> Bound</w:t>
            </w:r>
            <w:r w:rsidR="00DF4D28">
              <w:rPr>
                <w:rFonts w:eastAsia="Cambria" w:cs="Arial"/>
                <w:sz w:val="18"/>
                <w:szCs w:val="18"/>
                <w:lang w:eastAsia="en-GB"/>
              </w:rPr>
              <w:t xml:space="preserve"> </w:t>
            </w:r>
            <w:r w:rsidR="00D7222B">
              <w:rPr>
                <w:rFonts w:eastAsia="Cambria" w:cs="Arial"/>
                <w:sz w:val="18"/>
                <w:szCs w:val="18"/>
                <w:lang w:eastAsia="en-GB"/>
              </w:rPr>
              <w:t>M</w:t>
            </w:r>
            <w:r w:rsidR="009A194C">
              <w:rPr>
                <w:rFonts w:eastAsia="Cambria" w:cs="Arial"/>
                <w:sz w:val="18"/>
                <w:szCs w:val="18"/>
                <w:lang w:eastAsia="en-GB"/>
              </w:rPr>
              <w:t>ixtures</w:t>
            </w:r>
            <w:r w:rsidR="00D7222B">
              <w:rPr>
                <w:rFonts w:eastAsia="Cambria" w:cs="Arial"/>
                <w:sz w:val="18"/>
                <w:szCs w:val="18"/>
                <w:lang w:eastAsia="en-GB"/>
              </w:rPr>
              <w:t xml:space="preserve"> </w:t>
            </w:r>
            <w:r w:rsidR="00DF4D28">
              <w:rPr>
                <w:rFonts w:eastAsia="Cambria" w:cs="Arial"/>
                <w:sz w:val="18"/>
                <w:szCs w:val="18"/>
                <w:lang w:eastAsia="en-GB"/>
              </w:rPr>
              <w:t>(HBM</w:t>
            </w:r>
            <w:r w:rsidR="00C04688">
              <w:rPr>
                <w:rFonts w:eastAsia="Cambria" w:cs="Arial"/>
                <w:sz w:val="18"/>
                <w:szCs w:val="18"/>
                <w:lang w:eastAsia="en-GB"/>
              </w:rPr>
              <w:t>)</w:t>
            </w:r>
            <w:r w:rsidR="007A6DAA" w:rsidRPr="00960097">
              <w:rPr>
                <w:rFonts w:eastAsia="Cambria" w:cs="Arial"/>
                <w:sz w:val="18"/>
                <w:szCs w:val="18"/>
                <w:vertAlign w:val="superscript"/>
                <w:lang w:eastAsia="en-GB"/>
              </w:rPr>
              <w:t>2</w:t>
            </w:r>
            <w:r w:rsidR="00F73901">
              <w:rPr>
                <w:rFonts w:eastAsia="Cambria" w:cs="Arial"/>
                <w:sz w:val="18"/>
                <w:szCs w:val="18"/>
                <w:vertAlign w:val="superscript"/>
                <w:lang w:eastAsia="en-GB"/>
              </w:rPr>
              <w:t>,3</w:t>
            </w:r>
          </w:p>
        </w:tc>
        <w:tc>
          <w:tcPr>
            <w:tcW w:w="0" w:type="auto"/>
            <w:tcBorders>
              <w:top w:val="single" w:sz="18" w:space="0" w:color="auto"/>
              <w:right w:val="single" w:sz="12" w:space="0" w:color="auto"/>
            </w:tcBorders>
            <w:shd w:val="clear" w:color="auto" w:fill="FBE4D5"/>
            <w:vAlign w:val="center"/>
          </w:tcPr>
          <w:p w14:paraId="231BD8F0" w14:textId="77777777" w:rsidR="005C3761" w:rsidRPr="00960097" w:rsidRDefault="00E657F5" w:rsidP="005C3761">
            <w:pPr>
              <w:rPr>
                <w:rFonts w:eastAsia="Cambria" w:cs="Arial"/>
                <w:sz w:val="18"/>
                <w:szCs w:val="18"/>
                <w:lang w:eastAsia="en-GB"/>
              </w:rPr>
            </w:pPr>
            <w:r w:rsidRPr="00960097">
              <w:rPr>
                <w:rFonts w:eastAsia="Cambria" w:cs="Arial"/>
                <w:sz w:val="18"/>
                <w:szCs w:val="18"/>
                <w:lang w:eastAsia="en-GB"/>
              </w:rPr>
              <w:t>CBGM C</w:t>
            </w:r>
            <w:r w:rsidRPr="00890F8B">
              <w:rPr>
                <w:rFonts w:eastAsia="Cambria" w:cs="Arial"/>
                <w:sz w:val="18"/>
                <w:szCs w:val="18"/>
                <w:vertAlign w:val="subscript"/>
                <w:lang w:eastAsia="en-GB"/>
              </w:rPr>
              <w:t>8/10</w:t>
            </w:r>
            <w:r w:rsidRPr="00960097">
              <w:rPr>
                <w:rFonts w:eastAsia="Cambria" w:cs="Arial"/>
                <w:sz w:val="18"/>
                <w:szCs w:val="18"/>
                <w:lang w:eastAsia="en-GB"/>
              </w:rPr>
              <w:t>, other HBM C</w:t>
            </w:r>
            <w:r w:rsidRPr="00890F8B">
              <w:rPr>
                <w:rFonts w:eastAsia="Cambria" w:cs="Arial"/>
                <w:sz w:val="18"/>
                <w:szCs w:val="18"/>
                <w:vertAlign w:val="subscript"/>
                <w:lang w:eastAsia="en-GB"/>
              </w:rPr>
              <w:t>9/12</w:t>
            </w:r>
          </w:p>
        </w:tc>
        <w:tc>
          <w:tcPr>
            <w:tcW w:w="0" w:type="auto"/>
            <w:tcBorders>
              <w:top w:val="single" w:sz="18" w:space="0" w:color="auto"/>
              <w:left w:val="single" w:sz="12" w:space="0" w:color="auto"/>
            </w:tcBorders>
            <w:shd w:val="clear" w:color="auto" w:fill="FBE4D5"/>
            <w:vAlign w:val="center"/>
          </w:tcPr>
          <w:p w14:paraId="7E5E3D69"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c>
          <w:tcPr>
            <w:tcW w:w="0" w:type="auto"/>
            <w:tcBorders>
              <w:top w:val="single" w:sz="18" w:space="0" w:color="auto"/>
            </w:tcBorders>
            <w:shd w:val="clear" w:color="auto" w:fill="FBE4D5"/>
            <w:vAlign w:val="center"/>
          </w:tcPr>
          <w:p w14:paraId="0066D744" w14:textId="77777777" w:rsidR="005C3761" w:rsidRPr="00960097" w:rsidRDefault="00E657F5" w:rsidP="005C3761">
            <w:pPr>
              <w:jc w:val="center"/>
              <w:rPr>
                <w:rFonts w:eastAsia="Cambria" w:cs="Arial"/>
                <w:sz w:val="18"/>
                <w:szCs w:val="18"/>
                <w:lang w:eastAsia="en-GB"/>
              </w:rPr>
            </w:pPr>
            <w:r>
              <w:rPr>
                <w:rFonts w:eastAsia="Cambria" w:cs="Arial"/>
                <w:sz w:val="18"/>
                <w:szCs w:val="18"/>
                <w:lang w:eastAsia="en-GB"/>
              </w:rPr>
              <w:t>150mm</w:t>
            </w:r>
          </w:p>
        </w:tc>
        <w:tc>
          <w:tcPr>
            <w:tcW w:w="0" w:type="auto"/>
            <w:tcBorders>
              <w:top w:val="single" w:sz="18" w:space="0" w:color="auto"/>
            </w:tcBorders>
            <w:shd w:val="clear" w:color="auto" w:fill="FBE4D5"/>
            <w:vAlign w:val="center"/>
          </w:tcPr>
          <w:p w14:paraId="045CF165"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200 mm</w:t>
            </w:r>
          </w:p>
        </w:tc>
        <w:tc>
          <w:tcPr>
            <w:tcW w:w="0" w:type="auto"/>
            <w:tcBorders>
              <w:top w:val="single" w:sz="18" w:space="0" w:color="auto"/>
              <w:right w:val="single" w:sz="12" w:space="0" w:color="auto"/>
            </w:tcBorders>
            <w:shd w:val="clear" w:color="auto" w:fill="FBE4D5"/>
            <w:vAlign w:val="center"/>
          </w:tcPr>
          <w:p w14:paraId="7CA5712D"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220 mm</w:t>
            </w:r>
          </w:p>
        </w:tc>
      </w:tr>
      <w:tr w:rsidR="00B933CA" w14:paraId="1A6F2F7B" w14:textId="77777777" w:rsidTr="002F2B15">
        <w:trPr>
          <w:trHeight w:val="8"/>
        </w:trPr>
        <w:tc>
          <w:tcPr>
            <w:tcW w:w="0" w:type="auto"/>
            <w:vMerge/>
            <w:tcBorders>
              <w:left w:val="single" w:sz="12" w:space="0" w:color="auto"/>
              <w:right w:val="single" w:sz="18" w:space="0" w:color="auto"/>
            </w:tcBorders>
            <w:shd w:val="clear" w:color="auto" w:fill="8EAADB"/>
            <w:vAlign w:val="center"/>
          </w:tcPr>
          <w:p w14:paraId="3191DF6B" w14:textId="77777777" w:rsidR="005C3761" w:rsidRPr="00960097" w:rsidRDefault="005C3761" w:rsidP="005C3761">
            <w:pPr>
              <w:rPr>
                <w:rFonts w:eastAsia="Cambria" w:cs="Arial"/>
                <w:b/>
                <w:bCs/>
                <w:sz w:val="18"/>
                <w:szCs w:val="18"/>
                <w:lang w:eastAsia="en-GB"/>
              </w:rPr>
            </w:pPr>
          </w:p>
        </w:tc>
        <w:tc>
          <w:tcPr>
            <w:tcW w:w="0" w:type="auto"/>
            <w:vMerge/>
            <w:tcBorders>
              <w:left w:val="single" w:sz="18" w:space="0" w:color="auto"/>
            </w:tcBorders>
            <w:shd w:val="clear" w:color="auto" w:fill="FBE4D5"/>
            <w:vAlign w:val="center"/>
          </w:tcPr>
          <w:p w14:paraId="4434D287" w14:textId="77777777" w:rsidR="005C3761" w:rsidRPr="00960097" w:rsidRDefault="005C3761" w:rsidP="005C3761">
            <w:pPr>
              <w:rPr>
                <w:rFonts w:eastAsia="Cambria" w:cs="Arial"/>
                <w:sz w:val="18"/>
                <w:szCs w:val="18"/>
                <w:lang w:eastAsia="en-GB"/>
              </w:rPr>
            </w:pPr>
          </w:p>
        </w:tc>
        <w:tc>
          <w:tcPr>
            <w:tcW w:w="0" w:type="auto"/>
            <w:tcBorders>
              <w:right w:val="single" w:sz="12" w:space="0" w:color="auto"/>
            </w:tcBorders>
            <w:shd w:val="clear" w:color="auto" w:fill="FBE4D5"/>
            <w:vAlign w:val="center"/>
          </w:tcPr>
          <w:p w14:paraId="397D69E6" w14:textId="77777777" w:rsidR="005C3761" w:rsidRPr="00960097" w:rsidRDefault="00E657F5" w:rsidP="005C3761">
            <w:pPr>
              <w:rPr>
                <w:rFonts w:eastAsia="Cambria" w:cs="Arial"/>
                <w:sz w:val="18"/>
                <w:szCs w:val="18"/>
                <w:lang w:eastAsia="en-GB"/>
              </w:rPr>
            </w:pPr>
            <w:r w:rsidRPr="00960097">
              <w:rPr>
                <w:rFonts w:eastAsia="Cambria" w:cs="Arial"/>
                <w:sz w:val="18"/>
                <w:szCs w:val="18"/>
                <w:lang w:eastAsia="en-GB"/>
              </w:rPr>
              <w:t>CBGM C</w:t>
            </w:r>
            <w:r w:rsidRPr="00890F8B">
              <w:rPr>
                <w:rFonts w:eastAsia="Cambria" w:cs="Arial"/>
                <w:sz w:val="18"/>
                <w:szCs w:val="18"/>
                <w:vertAlign w:val="subscript"/>
                <w:lang w:eastAsia="en-GB"/>
              </w:rPr>
              <w:t>5/6</w:t>
            </w:r>
            <w:r w:rsidRPr="00960097">
              <w:rPr>
                <w:rFonts w:eastAsia="Cambria" w:cs="Arial"/>
                <w:sz w:val="18"/>
                <w:szCs w:val="18"/>
                <w:lang w:eastAsia="en-GB"/>
              </w:rPr>
              <w:t>, other HBM C</w:t>
            </w:r>
            <w:r w:rsidRPr="00890F8B">
              <w:rPr>
                <w:rFonts w:eastAsia="Cambria" w:cs="Arial"/>
                <w:sz w:val="18"/>
                <w:szCs w:val="18"/>
                <w:vertAlign w:val="subscript"/>
                <w:lang w:eastAsia="en-GB"/>
              </w:rPr>
              <w:t>6/8</w:t>
            </w:r>
            <w:r w:rsidRPr="00960097">
              <w:rPr>
                <w:rFonts w:eastAsia="Cambria" w:cs="Arial"/>
                <w:sz w:val="18"/>
                <w:szCs w:val="18"/>
                <w:lang w:eastAsia="en-GB"/>
              </w:rPr>
              <w:t xml:space="preserve"> (inc. </w:t>
            </w:r>
            <w:r w:rsidR="00356C1F">
              <w:rPr>
                <w:rFonts w:eastAsia="Cambria" w:cs="Arial"/>
                <w:sz w:val="18"/>
                <w:szCs w:val="18"/>
                <w:lang w:eastAsia="en-GB"/>
              </w:rPr>
              <w:t xml:space="preserve">MCHW </w:t>
            </w:r>
            <w:r w:rsidRPr="00960097">
              <w:rPr>
                <w:rFonts w:eastAsia="Cambria" w:cs="Arial"/>
                <w:sz w:val="18"/>
                <w:szCs w:val="18"/>
                <w:lang w:eastAsia="en-GB"/>
              </w:rPr>
              <w:t>Cl948 H</w:t>
            </w:r>
            <w:r w:rsidR="00D10EF9">
              <w:rPr>
                <w:rFonts w:eastAsia="Cambria" w:cs="Arial"/>
                <w:sz w:val="18"/>
                <w:szCs w:val="18"/>
                <w:lang w:eastAsia="en-GB"/>
              </w:rPr>
              <w:t>4</w:t>
            </w:r>
            <w:r w:rsidR="006054DC">
              <w:rPr>
                <w:rFonts w:eastAsia="Cambria" w:cs="Arial"/>
                <w:sz w:val="18"/>
                <w:szCs w:val="18"/>
                <w:lang w:eastAsia="en-GB"/>
              </w:rPr>
              <w:t xml:space="preserve"> &amp; H5</w:t>
            </w:r>
            <w:r w:rsidRPr="00960097">
              <w:rPr>
                <w:rFonts w:eastAsia="Cambria" w:cs="Arial"/>
                <w:sz w:val="18"/>
                <w:szCs w:val="18"/>
                <w:lang w:eastAsia="en-GB"/>
              </w:rPr>
              <w:t>)</w:t>
            </w:r>
          </w:p>
        </w:tc>
        <w:tc>
          <w:tcPr>
            <w:tcW w:w="0" w:type="auto"/>
            <w:tcBorders>
              <w:left w:val="single" w:sz="12" w:space="0" w:color="auto"/>
            </w:tcBorders>
            <w:shd w:val="clear" w:color="auto" w:fill="FBE4D5"/>
            <w:vAlign w:val="center"/>
          </w:tcPr>
          <w:p w14:paraId="1B5462C4" w14:textId="77777777" w:rsidR="005C3761" w:rsidRPr="00960097" w:rsidRDefault="00E657F5" w:rsidP="005C3761">
            <w:pPr>
              <w:jc w:val="center"/>
              <w:rPr>
                <w:rFonts w:eastAsia="Cambria" w:cs="Arial"/>
                <w:sz w:val="18"/>
                <w:szCs w:val="18"/>
                <w:lang w:eastAsia="en-GB"/>
              </w:rPr>
            </w:pPr>
            <w:r>
              <w:rPr>
                <w:rFonts w:eastAsia="Cambria" w:cs="Arial"/>
                <w:sz w:val="18"/>
                <w:szCs w:val="18"/>
                <w:lang w:eastAsia="en-GB"/>
              </w:rPr>
              <w:t>150mm</w:t>
            </w:r>
          </w:p>
        </w:tc>
        <w:tc>
          <w:tcPr>
            <w:tcW w:w="0" w:type="auto"/>
            <w:shd w:val="clear" w:color="auto" w:fill="FBE4D5"/>
            <w:vAlign w:val="center"/>
          </w:tcPr>
          <w:p w14:paraId="0F5DB440"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180 mm</w:t>
            </w:r>
          </w:p>
        </w:tc>
        <w:tc>
          <w:tcPr>
            <w:tcW w:w="0" w:type="auto"/>
            <w:shd w:val="clear" w:color="auto" w:fill="FBE4D5"/>
            <w:vAlign w:val="center"/>
          </w:tcPr>
          <w:p w14:paraId="18D8B3D3"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220 mm</w:t>
            </w:r>
          </w:p>
        </w:tc>
        <w:tc>
          <w:tcPr>
            <w:tcW w:w="0" w:type="auto"/>
            <w:tcBorders>
              <w:right w:val="single" w:sz="12" w:space="0" w:color="auto"/>
            </w:tcBorders>
            <w:shd w:val="clear" w:color="auto" w:fill="FBE4D5"/>
            <w:vAlign w:val="center"/>
          </w:tcPr>
          <w:p w14:paraId="4C775E73"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r>
      <w:tr w:rsidR="00B933CA" w14:paraId="66B2D647" w14:textId="77777777" w:rsidTr="002F2B15">
        <w:trPr>
          <w:trHeight w:val="8"/>
        </w:trPr>
        <w:tc>
          <w:tcPr>
            <w:tcW w:w="0" w:type="auto"/>
            <w:vMerge/>
            <w:tcBorders>
              <w:left w:val="single" w:sz="12" w:space="0" w:color="auto"/>
              <w:right w:val="single" w:sz="18" w:space="0" w:color="auto"/>
            </w:tcBorders>
            <w:shd w:val="clear" w:color="auto" w:fill="8EAADB"/>
            <w:vAlign w:val="center"/>
          </w:tcPr>
          <w:p w14:paraId="367D4306" w14:textId="77777777" w:rsidR="005C3761" w:rsidRPr="00960097" w:rsidRDefault="005C3761" w:rsidP="005C3761">
            <w:pPr>
              <w:rPr>
                <w:rFonts w:eastAsia="Cambria" w:cs="Arial"/>
                <w:b/>
                <w:bCs/>
                <w:sz w:val="18"/>
                <w:szCs w:val="18"/>
                <w:lang w:eastAsia="en-GB"/>
              </w:rPr>
            </w:pPr>
          </w:p>
        </w:tc>
        <w:tc>
          <w:tcPr>
            <w:tcW w:w="0" w:type="auto"/>
            <w:vMerge/>
            <w:tcBorders>
              <w:left w:val="single" w:sz="18" w:space="0" w:color="auto"/>
            </w:tcBorders>
            <w:shd w:val="clear" w:color="auto" w:fill="FBE4D5"/>
            <w:vAlign w:val="center"/>
          </w:tcPr>
          <w:p w14:paraId="7E80FFA3" w14:textId="77777777" w:rsidR="005C3761" w:rsidRPr="00960097" w:rsidRDefault="005C3761" w:rsidP="005C3761">
            <w:pPr>
              <w:rPr>
                <w:rFonts w:eastAsia="Cambria" w:cs="Arial"/>
                <w:sz w:val="18"/>
                <w:szCs w:val="18"/>
                <w:lang w:eastAsia="en-GB"/>
              </w:rPr>
            </w:pPr>
          </w:p>
        </w:tc>
        <w:tc>
          <w:tcPr>
            <w:tcW w:w="0" w:type="auto"/>
            <w:tcBorders>
              <w:right w:val="single" w:sz="12" w:space="0" w:color="auto"/>
            </w:tcBorders>
            <w:shd w:val="clear" w:color="auto" w:fill="FBE4D5"/>
            <w:vAlign w:val="center"/>
          </w:tcPr>
          <w:p w14:paraId="35DC14D7" w14:textId="77777777" w:rsidR="005C3761" w:rsidRPr="00960097" w:rsidRDefault="00E657F5" w:rsidP="005C3761">
            <w:pPr>
              <w:rPr>
                <w:rFonts w:eastAsia="Cambria" w:cs="Arial"/>
                <w:sz w:val="18"/>
                <w:szCs w:val="18"/>
                <w:lang w:eastAsia="en-GB"/>
              </w:rPr>
            </w:pPr>
            <w:r w:rsidRPr="00960097">
              <w:rPr>
                <w:rFonts w:eastAsia="Cambria" w:cs="Arial"/>
                <w:sz w:val="18"/>
                <w:szCs w:val="18"/>
                <w:lang w:eastAsia="en-GB"/>
              </w:rPr>
              <w:t>CBGM C</w:t>
            </w:r>
            <w:r w:rsidRPr="00890F8B">
              <w:rPr>
                <w:rFonts w:eastAsia="Cambria" w:cs="Arial"/>
                <w:sz w:val="18"/>
                <w:szCs w:val="18"/>
                <w:vertAlign w:val="subscript"/>
                <w:lang w:eastAsia="en-GB"/>
              </w:rPr>
              <w:t>3/4</w:t>
            </w:r>
            <w:r w:rsidRPr="00960097">
              <w:rPr>
                <w:rFonts w:eastAsia="Cambria" w:cs="Arial"/>
                <w:sz w:val="18"/>
                <w:szCs w:val="18"/>
                <w:lang w:eastAsia="en-GB"/>
              </w:rPr>
              <w:t>, other HBM C</w:t>
            </w:r>
            <w:r w:rsidRPr="00890F8B">
              <w:rPr>
                <w:rFonts w:eastAsia="Cambria" w:cs="Arial"/>
                <w:sz w:val="18"/>
                <w:szCs w:val="18"/>
                <w:vertAlign w:val="subscript"/>
                <w:lang w:eastAsia="en-GB"/>
              </w:rPr>
              <w:t>3/4</w:t>
            </w:r>
            <w:r w:rsidRPr="00960097">
              <w:rPr>
                <w:rFonts w:eastAsia="Cambria" w:cs="Arial"/>
                <w:sz w:val="18"/>
                <w:szCs w:val="18"/>
                <w:lang w:eastAsia="en-GB"/>
              </w:rPr>
              <w:t xml:space="preserve"> (inc. Cl948 H</w:t>
            </w:r>
            <w:r w:rsidR="005324C7">
              <w:rPr>
                <w:rFonts w:eastAsia="Cambria" w:cs="Arial"/>
                <w:sz w:val="18"/>
                <w:szCs w:val="18"/>
                <w:lang w:eastAsia="en-GB"/>
              </w:rPr>
              <w:t>1-H3</w:t>
            </w:r>
            <w:r w:rsidRPr="00960097">
              <w:rPr>
                <w:rFonts w:eastAsia="Cambria" w:cs="Arial"/>
                <w:sz w:val="18"/>
                <w:szCs w:val="18"/>
                <w:lang w:eastAsia="en-GB"/>
              </w:rPr>
              <w:t>)</w:t>
            </w:r>
          </w:p>
        </w:tc>
        <w:tc>
          <w:tcPr>
            <w:tcW w:w="0" w:type="auto"/>
            <w:tcBorders>
              <w:left w:val="single" w:sz="12" w:space="0" w:color="auto"/>
            </w:tcBorders>
            <w:shd w:val="clear" w:color="auto" w:fill="FBE4D5"/>
            <w:vAlign w:val="center"/>
          </w:tcPr>
          <w:p w14:paraId="57184310" w14:textId="77777777" w:rsidR="00716944" w:rsidRPr="00960097" w:rsidRDefault="00E657F5" w:rsidP="005C3761">
            <w:pPr>
              <w:jc w:val="center"/>
              <w:rPr>
                <w:rFonts w:eastAsia="Cambria" w:cs="Arial"/>
                <w:sz w:val="18"/>
                <w:szCs w:val="18"/>
                <w:lang w:eastAsia="en-GB"/>
              </w:rPr>
            </w:pPr>
            <w:r>
              <w:rPr>
                <w:rFonts w:eastAsia="Cambria" w:cs="Arial"/>
                <w:sz w:val="18"/>
                <w:szCs w:val="18"/>
                <w:lang w:eastAsia="en-GB"/>
              </w:rPr>
              <w:t>150mm</w:t>
            </w:r>
          </w:p>
        </w:tc>
        <w:tc>
          <w:tcPr>
            <w:tcW w:w="0" w:type="auto"/>
            <w:shd w:val="clear" w:color="auto" w:fill="FBE4D5"/>
            <w:vAlign w:val="center"/>
          </w:tcPr>
          <w:p w14:paraId="58D1972D"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c>
          <w:tcPr>
            <w:tcW w:w="0" w:type="auto"/>
            <w:shd w:val="clear" w:color="auto" w:fill="FBE4D5"/>
            <w:vAlign w:val="center"/>
          </w:tcPr>
          <w:p w14:paraId="7BA1756E"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c>
          <w:tcPr>
            <w:tcW w:w="0" w:type="auto"/>
            <w:tcBorders>
              <w:right w:val="single" w:sz="12" w:space="0" w:color="auto"/>
            </w:tcBorders>
            <w:shd w:val="clear" w:color="auto" w:fill="FBE4D5"/>
            <w:vAlign w:val="center"/>
          </w:tcPr>
          <w:p w14:paraId="7C23063A"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r>
      <w:tr w:rsidR="00B933CA" w14:paraId="68D92455" w14:textId="77777777" w:rsidTr="002F2B15">
        <w:trPr>
          <w:trHeight w:val="3"/>
        </w:trPr>
        <w:tc>
          <w:tcPr>
            <w:tcW w:w="0" w:type="auto"/>
            <w:vMerge/>
            <w:tcBorders>
              <w:left w:val="single" w:sz="12" w:space="0" w:color="auto"/>
              <w:right w:val="single" w:sz="18" w:space="0" w:color="auto"/>
            </w:tcBorders>
            <w:shd w:val="clear" w:color="auto" w:fill="8EAADB"/>
            <w:vAlign w:val="center"/>
          </w:tcPr>
          <w:p w14:paraId="75D361B1" w14:textId="77777777" w:rsidR="005C3761" w:rsidRPr="00960097" w:rsidRDefault="005C3761" w:rsidP="005C3761">
            <w:pPr>
              <w:rPr>
                <w:rFonts w:eastAsia="Cambria" w:cs="Arial"/>
                <w:b/>
                <w:bCs/>
                <w:sz w:val="18"/>
                <w:szCs w:val="18"/>
                <w:lang w:eastAsia="en-GB"/>
              </w:rPr>
            </w:pPr>
          </w:p>
        </w:tc>
        <w:tc>
          <w:tcPr>
            <w:tcW w:w="0" w:type="auto"/>
            <w:tcBorders>
              <w:left w:val="single" w:sz="18" w:space="0" w:color="auto"/>
            </w:tcBorders>
            <w:shd w:val="clear" w:color="auto" w:fill="FBE4D5"/>
            <w:vAlign w:val="center"/>
          </w:tcPr>
          <w:p w14:paraId="4957C5D3" w14:textId="77777777" w:rsidR="005C3761" w:rsidRPr="00960097" w:rsidRDefault="00E657F5" w:rsidP="005C3761">
            <w:pPr>
              <w:rPr>
                <w:rFonts w:eastAsia="Cambria" w:cs="Arial"/>
                <w:sz w:val="18"/>
                <w:szCs w:val="18"/>
                <w:lang w:eastAsia="en-GB"/>
              </w:rPr>
            </w:pPr>
            <w:r w:rsidRPr="00960097">
              <w:rPr>
                <w:rFonts w:eastAsia="Cambria" w:cs="Arial"/>
                <w:sz w:val="18"/>
                <w:szCs w:val="18"/>
                <w:lang w:eastAsia="en-GB"/>
              </w:rPr>
              <w:t>Cold Recycled Bound Materials</w:t>
            </w:r>
            <w:r w:rsidR="0019089C">
              <w:rPr>
                <w:rFonts w:eastAsia="Cambria" w:cs="Arial"/>
                <w:sz w:val="18"/>
                <w:szCs w:val="18"/>
                <w:lang w:eastAsia="en-GB"/>
              </w:rPr>
              <w:t xml:space="preserve"> (CRBM)</w:t>
            </w:r>
          </w:p>
        </w:tc>
        <w:tc>
          <w:tcPr>
            <w:tcW w:w="0" w:type="auto"/>
            <w:tcBorders>
              <w:right w:val="single" w:sz="12" w:space="0" w:color="auto"/>
            </w:tcBorders>
            <w:shd w:val="clear" w:color="auto" w:fill="FBE4D5"/>
            <w:vAlign w:val="center"/>
          </w:tcPr>
          <w:p w14:paraId="474D19AD" w14:textId="77777777" w:rsidR="005C3761" w:rsidRPr="00960097" w:rsidRDefault="00E657F5" w:rsidP="005C3761">
            <w:pPr>
              <w:rPr>
                <w:rFonts w:eastAsia="Cambria" w:cs="Arial"/>
                <w:sz w:val="18"/>
                <w:szCs w:val="18"/>
                <w:lang w:eastAsia="en-GB"/>
              </w:rPr>
            </w:pPr>
            <w:r>
              <w:rPr>
                <w:rFonts w:eastAsia="Cambria" w:cs="Arial"/>
                <w:sz w:val="18"/>
                <w:szCs w:val="18"/>
                <w:lang w:eastAsia="en-GB"/>
              </w:rPr>
              <w:t xml:space="preserve">MCHW </w:t>
            </w:r>
            <w:r w:rsidR="00014C12" w:rsidRPr="00960097">
              <w:rPr>
                <w:rFonts w:eastAsia="Cambria" w:cs="Arial"/>
                <w:sz w:val="18"/>
                <w:szCs w:val="18"/>
                <w:lang w:eastAsia="en-GB"/>
              </w:rPr>
              <w:t>Cl948</w:t>
            </w:r>
            <w:r w:rsidR="00AA5E22">
              <w:rPr>
                <w:rFonts w:eastAsia="Cambria" w:cs="Arial"/>
                <w:sz w:val="18"/>
                <w:szCs w:val="18"/>
                <w:lang w:eastAsia="en-GB"/>
              </w:rPr>
              <w:t>/</w:t>
            </w:r>
            <w:r>
              <w:rPr>
                <w:rFonts w:eastAsia="Cambria" w:cs="Arial"/>
                <w:sz w:val="18"/>
                <w:szCs w:val="18"/>
                <w:lang w:eastAsia="en-GB"/>
              </w:rPr>
              <w:t xml:space="preserve"> </w:t>
            </w:r>
            <w:r w:rsidR="00AA5E22">
              <w:rPr>
                <w:rFonts w:eastAsia="Cambria" w:cs="Arial"/>
                <w:sz w:val="18"/>
                <w:szCs w:val="18"/>
                <w:lang w:eastAsia="en-GB"/>
              </w:rPr>
              <w:t>TRL</w:t>
            </w:r>
            <w:r w:rsidR="00B1708C">
              <w:rPr>
                <w:rFonts w:eastAsia="Cambria" w:cs="Arial"/>
                <w:sz w:val="18"/>
                <w:szCs w:val="18"/>
                <w:lang w:eastAsia="en-GB"/>
              </w:rPr>
              <w:t xml:space="preserve">611 </w:t>
            </w:r>
            <w:r w:rsidR="00014C12" w:rsidRPr="00960097">
              <w:rPr>
                <w:rFonts w:eastAsia="Cambria" w:cs="Arial"/>
                <w:sz w:val="18"/>
                <w:szCs w:val="18"/>
                <w:lang w:eastAsia="en-GB"/>
              </w:rPr>
              <w:t>QVE B3</w:t>
            </w:r>
            <w:r w:rsidR="0019089C">
              <w:rPr>
                <w:rFonts w:eastAsia="Cambria" w:cs="Arial"/>
                <w:sz w:val="18"/>
                <w:szCs w:val="18"/>
                <w:lang w:eastAsia="en-GB"/>
              </w:rPr>
              <w:t xml:space="preserve"> (Bitumen Bound)</w:t>
            </w:r>
          </w:p>
        </w:tc>
        <w:tc>
          <w:tcPr>
            <w:tcW w:w="0" w:type="auto"/>
            <w:tcBorders>
              <w:left w:val="single" w:sz="12" w:space="0" w:color="auto"/>
            </w:tcBorders>
            <w:shd w:val="clear" w:color="auto" w:fill="FBE4D5"/>
            <w:vAlign w:val="center"/>
          </w:tcPr>
          <w:p w14:paraId="73DEDC82"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120 mm</w:t>
            </w:r>
          </w:p>
        </w:tc>
        <w:tc>
          <w:tcPr>
            <w:tcW w:w="0" w:type="auto"/>
            <w:shd w:val="clear" w:color="auto" w:fill="FBE4D5"/>
            <w:vAlign w:val="center"/>
          </w:tcPr>
          <w:p w14:paraId="47BE5F30"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140 mm</w:t>
            </w:r>
          </w:p>
        </w:tc>
        <w:tc>
          <w:tcPr>
            <w:tcW w:w="0" w:type="auto"/>
            <w:shd w:val="clear" w:color="auto" w:fill="FBE4D5"/>
            <w:vAlign w:val="center"/>
          </w:tcPr>
          <w:p w14:paraId="6D5686EE"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170 mm</w:t>
            </w:r>
          </w:p>
        </w:tc>
        <w:tc>
          <w:tcPr>
            <w:tcW w:w="0" w:type="auto"/>
            <w:tcBorders>
              <w:right w:val="single" w:sz="12" w:space="0" w:color="auto"/>
            </w:tcBorders>
            <w:shd w:val="clear" w:color="auto" w:fill="FBE4D5"/>
            <w:vAlign w:val="center"/>
          </w:tcPr>
          <w:p w14:paraId="2B835824"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205 mm</w:t>
            </w:r>
          </w:p>
        </w:tc>
      </w:tr>
      <w:tr w:rsidR="00B933CA" w14:paraId="60173B56" w14:textId="77777777" w:rsidTr="002F2B15">
        <w:trPr>
          <w:trHeight w:val="8"/>
        </w:trPr>
        <w:tc>
          <w:tcPr>
            <w:tcW w:w="0" w:type="auto"/>
            <w:vMerge/>
            <w:tcBorders>
              <w:left w:val="single" w:sz="12" w:space="0" w:color="auto"/>
              <w:right w:val="single" w:sz="18" w:space="0" w:color="auto"/>
            </w:tcBorders>
            <w:shd w:val="clear" w:color="auto" w:fill="8EAADB"/>
            <w:vAlign w:val="center"/>
          </w:tcPr>
          <w:p w14:paraId="6D53C71D" w14:textId="77777777" w:rsidR="005C3761" w:rsidRPr="00960097" w:rsidRDefault="005C3761" w:rsidP="005C3761">
            <w:pPr>
              <w:rPr>
                <w:rFonts w:eastAsia="Cambria" w:cs="Arial"/>
                <w:b/>
                <w:bCs/>
                <w:sz w:val="18"/>
                <w:szCs w:val="18"/>
                <w:lang w:eastAsia="en-GB"/>
              </w:rPr>
            </w:pPr>
          </w:p>
        </w:tc>
        <w:tc>
          <w:tcPr>
            <w:tcW w:w="0" w:type="auto"/>
            <w:vMerge w:val="restart"/>
            <w:tcBorders>
              <w:left w:val="single" w:sz="18" w:space="0" w:color="auto"/>
            </w:tcBorders>
            <w:shd w:val="clear" w:color="auto" w:fill="FBE4D5"/>
            <w:vAlign w:val="center"/>
          </w:tcPr>
          <w:p w14:paraId="420A9580" w14:textId="77777777" w:rsidR="005C3761" w:rsidRPr="00960097" w:rsidRDefault="00E657F5" w:rsidP="005C3761">
            <w:pPr>
              <w:rPr>
                <w:rFonts w:eastAsia="Cambria" w:cs="Arial"/>
                <w:sz w:val="18"/>
                <w:szCs w:val="18"/>
                <w:lang w:eastAsia="en-GB"/>
              </w:rPr>
            </w:pPr>
            <w:r w:rsidRPr="00960097">
              <w:rPr>
                <w:rFonts w:eastAsia="Cambria" w:cs="Arial"/>
                <w:sz w:val="18"/>
                <w:szCs w:val="18"/>
                <w:lang w:eastAsia="en-GB"/>
              </w:rPr>
              <w:t>Hot Mix Bitumen Bound</w:t>
            </w:r>
            <w:r w:rsidR="00A907CB">
              <w:rPr>
                <w:rFonts w:eastAsia="Cambria" w:cs="Arial"/>
                <w:sz w:val="18"/>
                <w:szCs w:val="18"/>
                <w:vertAlign w:val="superscript"/>
                <w:lang w:eastAsia="en-GB"/>
              </w:rPr>
              <w:t>4</w:t>
            </w:r>
          </w:p>
        </w:tc>
        <w:tc>
          <w:tcPr>
            <w:tcW w:w="0" w:type="auto"/>
            <w:tcBorders>
              <w:right w:val="single" w:sz="12" w:space="0" w:color="auto"/>
            </w:tcBorders>
            <w:shd w:val="clear" w:color="auto" w:fill="FBE4D5"/>
            <w:vAlign w:val="center"/>
          </w:tcPr>
          <w:p w14:paraId="2B1633FB" w14:textId="77777777" w:rsidR="005C3761" w:rsidRPr="00960097" w:rsidRDefault="00E657F5" w:rsidP="005C3761">
            <w:pPr>
              <w:rPr>
                <w:rFonts w:eastAsia="Cambria" w:cs="Arial"/>
                <w:sz w:val="18"/>
                <w:szCs w:val="18"/>
                <w:lang w:eastAsia="en-GB"/>
              </w:rPr>
            </w:pPr>
            <w:r>
              <w:rPr>
                <w:rFonts w:eastAsia="Cambria" w:cs="Arial"/>
                <w:sz w:val="18"/>
                <w:szCs w:val="18"/>
                <w:lang w:eastAsia="en-GB"/>
              </w:rPr>
              <w:t xml:space="preserve">MCHW </w:t>
            </w:r>
            <w:r w:rsidR="00014C12" w:rsidRPr="00960097">
              <w:rPr>
                <w:rFonts w:eastAsia="Cambria" w:cs="Arial"/>
                <w:sz w:val="18"/>
                <w:szCs w:val="18"/>
                <w:lang w:eastAsia="en-GB"/>
              </w:rPr>
              <w:t>Cl906 AC 20 dense bin 100/150 rec WTA</w:t>
            </w:r>
          </w:p>
        </w:tc>
        <w:tc>
          <w:tcPr>
            <w:tcW w:w="0" w:type="auto"/>
            <w:tcBorders>
              <w:left w:val="single" w:sz="12" w:space="0" w:color="auto"/>
            </w:tcBorders>
            <w:shd w:val="clear" w:color="auto" w:fill="FBE4D5"/>
            <w:vAlign w:val="center"/>
          </w:tcPr>
          <w:p w14:paraId="0DD4EDEB"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100 mm</w:t>
            </w:r>
          </w:p>
        </w:tc>
        <w:tc>
          <w:tcPr>
            <w:tcW w:w="0" w:type="auto"/>
            <w:shd w:val="clear" w:color="auto" w:fill="FBE4D5"/>
            <w:vAlign w:val="center"/>
          </w:tcPr>
          <w:p w14:paraId="3CB7F9A8"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120 mm</w:t>
            </w:r>
          </w:p>
        </w:tc>
        <w:tc>
          <w:tcPr>
            <w:tcW w:w="0" w:type="auto"/>
            <w:shd w:val="clear" w:color="auto" w:fill="FBE4D5"/>
            <w:vAlign w:val="center"/>
          </w:tcPr>
          <w:p w14:paraId="78F17F17"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N/A</w:t>
            </w:r>
          </w:p>
        </w:tc>
        <w:tc>
          <w:tcPr>
            <w:tcW w:w="0" w:type="auto"/>
            <w:tcBorders>
              <w:right w:val="single" w:sz="12" w:space="0" w:color="auto"/>
            </w:tcBorders>
            <w:shd w:val="clear" w:color="auto" w:fill="FBE4D5"/>
            <w:vAlign w:val="center"/>
          </w:tcPr>
          <w:p w14:paraId="63A5861F"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N/A</w:t>
            </w:r>
          </w:p>
        </w:tc>
      </w:tr>
      <w:tr w:rsidR="00B933CA" w14:paraId="0A554C2A" w14:textId="77777777" w:rsidTr="002F2B15">
        <w:trPr>
          <w:trHeight w:val="8"/>
        </w:trPr>
        <w:tc>
          <w:tcPr>
            <w:tcW w:w="0" w:type="auto"/>
            <w:vMerge/>
            <w:tcBorders>
              <w:left w:val="single" w:sz="12" w:space="0" w:color="auto"/>
              <w:bottom w:val="single" w:sz="4" w:space="0" w:color="auto"/>
              <w:right w:val="single" w:sz="18" w:space="0" w:color="auto"/>
            </w:tcBorders>
            <w:shd w:val="clear" w:color="auto" w:fill="8EAADB"/>
          </w:tcPr>
          <w:p w14:paraId="764C378B" w14:textId="77777777" w:rsidR="005C3761" w:rsidRPr="00960097" w:rsidRDefault="005C3761" w:rsidP="005C3761">
            <w:pPr>
              <w:rPr>
                <w:rFonts w:eastAsia="Cambria" w:cs="Arial"/>
                <w:b/>
                <w:bCs/>
                <w:sz w:val="18"/>
                <w:szCs w:val="18"/>
                <w:lang w:eastAsia="en-GB"/>
              </w:rPr>
            </w:pPr>
          </w:p>
        </w:tc>
        <w:tc>
          <w:tcPr>
            <w:tcW w:w="0" w:type="auto"/>
            <w:vMerge/>
            <w:tcBorders>
              <w:left w:val="single" w:sz="18" w:space="0" w:color="auto"/>
              <w:bottom w:val="single" w:sz="18" w:space="0" w:color="auto"/>
            </w:tcBorders>
            <w:shd w:val="clear" w:color="auto" w:fill="FBE4D5"/>
          </w:tcPr>
          <w:p w14:paraId="64FBBF83" w14:textId="77777777" w:rsidR="005C3761" w:rsidRPr="00960097" w:rsidRDefault="005C3761" w:rsidP="005C3761">
            <w:pPr>
              <w:rPr>
                <w:rFonts w:eastAsia="Cambria" w:cs="Arial"/>
                <w:sz w:val="18"/>
                <w:szCs w:val="18"/>
                <w:lang w:eastAsia="en-GB"/>
              </w:rPr>
            </w:pPr>
          </w:p>
        </w:tc>
        <w:tc>
          <w:tcPr>
            <w:tcW w:w="0" w:type="auto"/>
            <w:tcBorders>
              <w:bottom w:val="single" w:sz="18" w:space="0" w:color="auto"/>
              <w:right w:val="single" w:sz="12" w:space="0" w:color="auto"/>
            </w:tcBorders>
            <w:shd w:val="clear" w:color="auto" w:fill="FBE4D5"/>
            <w:vAlign w:val="center"/>
          </w:tcPr>
          <w:p w14:paraId="28EEF3B6" w14:textId="77777777" w:rsidR="005C3761" w:rsidRPr="00960097" w:rsidRDefault="00E657F5" w:rsidP="005C3761">
            <w:pPr>
              <w:rPr>
                <w:rFonts w:eastAsia="Cambria" w:cs="Arial"/>
                <w:sz w:val="18"/>
                <w:szCs w:val="18"/>
                <w:lang w:eastAsia="en-GB"/>
              </w:rPr>
            </w:pPr>
            <w:r>
              <w:rPr>
                <w:rFonts w:eastAsia="Cambria" w:cs="Arial"/>
                <w:sz w:val="18"/>
                <w:szCs w:val="18"/>
                <w:lang w:eastAsia="en-GB"/>
              </w:rPr>
              <w:t xml:space="preserve">MCHW </w:t>
            </w:r>
            <w:r w:rsidR="00014C12" w:rsidRPr="00960097">
              <w:rPr>
                <w:rFonts w:eastAsia="Cambria" w:cs="Arial"/>
                <w:sz w:val="18"/>
                <w:szCs w:val="18"/>
                <w:lang w:eastAsia="en-GB"/>
              </w:rPr>
              <w:t>Cl929 AC 20 HDM bin 40/60 des WTA</w:t>
            </w:r>
          </w:p>
        </w:tc>
        <w:tc>
          <w:tcPr>
            <w:tcW w:w="0" w:type="auto"/>
            <w:tcBorders>
              <w:left w:val="single" w:sz="12" w:space="0" w:color="auto"/>
              <w:bottom w:val="single" w:sz="18" w:space="0" w:color="auto"/>
            </w:tcBorders>
            <w:shd w:val="clear" w:color="auto" w:fill="FBE4D5"/>
            <w:vAlign w:val="center"/>
          </w:tcPr>
          <w:p w14:paraId="72084EE7"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100 mm</w:t>
            </w:r>
          </w:p>
        </w:tc>
        <w:tc>
          <w:tcPr>
            <w:tcW w:w="0" w:type="auto"/>
            <w:tcBorders>
              <w:bottom w:val="single" w:sz="18" w:space="0" w:color="auto"/>
            </w:tcBorders>
            <w:shd w:val="clear" w:color="auto" w:fill="FBE4D5"/>
            <w:vAlign w:val="center"/>
          </w:tcPr>
          <w:p w14:paraId="43C7E030"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120 mm</w:t>
            </w:r>
          </w:p>
        </w:tc>
        <w:tc>
          <w:tcPr>
            <w:tcW w:w="0" w:type="auto"/>
            <w:tcBorders>
              <w:bottom w:val="single" w:sz="18" w:space="0" w:color="auto"/>
            </w:tcBorders>
            <w:shd w:val="clear" w:color="auto" w:fill="FBE4D5"/>
            <w:vAlign w:val="center"/>
          </w:tcPr>
          <w:p w14:paraId="65F07D68"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150 mm</w:t>
            </w:r>
          </w:p>
        </w:tc>
        <w:tc>
          <w:tcPr>
            <w:tcW w:w="0" w:type="auto"/>
            <w:tcBorders>
              <w:bottom w:val="single" w:sz="18" w:space="0" w:color="auto"/>
              <w:right w:val="single" w:sz="12" w:space="0" w:color="auto"/>
            </w:tcBorders>
            <w:shd w:val="clear" w:color="auto" w:fill="FBE4D5"/>
            <w:vAlign w:val="center"/>
          </w:tcPr>
          <w:p w14:paraId="5607F52B"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180 mm</w:t>
            </w:r>
          </w:p>
        </w:tc>
      </w:tr>
      <w:tr w:rsidR="00B933CA" w14:paraId="63C5D371" w14:textId="77777777" w:rsidTr="002F2B15">
        <w:trPr>
          <w:trHeight w:val="59"/>
        </w:trPr>
        <w:tc>
          <w:tcPr>
            <w:tcW w:w="0" w:type="auto"/>
            <w:vMerge w:val="restart"/>
            <w:tcBorders>
              <w:top w:val="single" w:sz="18" w:space="0" w:color="auto"/>
              <w:left w:val="single" w:sz="12" w:space="0" w:color="auto"/>
              <w:right w:val="single" w:sz="18" w:space="0" w:color="auto"/>
            </w:tcBorders>
            <w:shd w:val="clear" w:color="auto" w:fill="8EAADB"/>
            <w:vAlign w:val="center"/>
          </w:tcPr>
          <w:p w14:paraId="05579D0F" w14:textId="77777777" w:rsidR="000F18A8" w:rsidRPr="00960097" w:rsidRDefault="00E657F5" w:rsidP="005C3761">
            <w:pPr>
              <w:rPr>
                <w:rFonts w:eastAsia="Cambria" w:cs="Arial"/>
                <w:b/>
                <w:bCs/>
                <w:sz w:val="18"/>
                <w:szCs w:val="18"/>
                <w:lang w:eastAsia="en-GB"/>
              </w:rPr>
            </w:pPr>
            <w:r w:rsidRPr="00960097">
              <w:rPr>
                <w:rFonts w:eastAsia="Cambria" w:cs="Arial"/>
                <w:b/>
                <w:bCs/>
                <w:sz w:val="18"/>
                <w:szCs w:val="18"/>
                <w:lang w:eastAsia="en-GB"/>
              </w:rPr>
              <w:t>Binder Cours</w:t>
            </w:r>
            <w:r>
              <w:rPr>
                <w:rFonts w:eastAsia="Cambria" w:cs="Arial"/>
                <w:b/>
                <w:bCs/>
                <w:sz w:val="18"/>
                <w:szCs w:val="18"/>
                <w:lang w:eastAsia="en-GB"/>
              </w:rPr>
              <w:t>e</w:t>
            </w:r>
          </w:p>
        </w:tc>
        <w:tc>
          <w:tcPr>
            <w:tcW w:w="0" w:type="auto"/>
            <w:tcBorders>
              <w:top w:val="single" w:sz="18" w:space="0" w:color="auto"/>
              <w:left w:val="single" w:sz="18" w:space="0" w:color="auto"/>
            </w:tcBorders>
            <w:shd w:val="clear" w:color="auto" w:fill="FBE4D5"/>
          </w:tcPr>
          <w:p w14:paraId="0D310BF7" w14:textId="77777777" w:rsidR="005C3761" w:rsidRPr="00960097" w:rsidRDefault="00E657F5" w:rsidP="005C3761">
            <w:pPr>
              <w:rPr>
                <w:rFonts w:eastAsia="Cambria" w:cs="Arial"/>
                <w:sz w:val="18"/>
                <w:szCs w:val="18"/>
                <w:lang w:eastAsia="en-GB"/>
              </w:rPr>
            </w:pPr>
            <w:r w:rsidRPr="00960097">
              <w:rPr>
                <w:rFonts w:eastAsia="Cambria" w:cs="Arial"/>
                <w:sz w:val="18"/>
                <w:szCs w:val="18"/>
                <w:lang w:eastAsia="en-GB"/>
              </w:rPr>
              <w:t>Cold Recycled</w:t>
            </w:r>
            <w:r w:rsidR="0019089C">
              <w:rPr>
                <w:rFonts w:eastAsia="Cambria" w:cs="Arial"/>
                <w:sz w:val="18"/>
                <w:szCs w:val="18"/>
                <w:lang w:eastAsia="en-GB"/>
              </w:rPr>
              <w:t xml:space="preserve"> </w:t>
            </w:r>
            <w:r w:rsidRPr="00960097">
              <w:rPr>
                <w:rFonts w:eastAsia="Cambria" w:cs="Arial"/>
                <w:sz w:val="18"/>
                <w:szCs w:val="18"/>
                <w:lang w:eastAsia="en-GB"/>
              </w:rPr>
              <w:t>Bound Materials</w:t>
            </w:r>
            <w:r w:rsidR="0019089C">
              <w:rPr>
                <w:rFonts w:eastAsia="Cambria" w:cs="Arial"/>
                <w:sz w:val="18"/>
                <w:szCs w:val="18"/>
                <w:lang w:eastAsia="en-GB"/>
              </w:rPr>
              <w:t xml:space="preserve"> (CRBM)</w:t>
            </w:r>
            <w:r w:rsidR="000F18A8" w:rsidRPr="000F18A8">
              <w:rPr>
                <w:rFonts w:eastAsia="Cambria" w:cs="Arial"/>
                <w:sz w:val="18"/>
                <w:szCs w:val="18"/>
                <w:vertAlign w:val="superscript"/>
                <w:lang w:eastAsia="en-GB"/>
              </w:rPr>
              <w:t>5</w:t>
            </w:r>
          </w:p>
        </w:tc>
        <w:tc>
          <w:tcPr>
            <w:tcW w:w="0" w:type="auto"/>
            <w:tcBorders>
              <w:top w:val="single" w:sz="18" w:space="0" w:color="auto"/>
              <w:right w:val="single" w:sz="12" w:space="0" w:color="auto"/>
            </w:tcBorders>
            <w:shd w:val="clear" w:color="auto" w:fill="FBE4D5"/>
            <w:vAlign w:val="center"/>
          </w:tcPr>
          <w:p w14:paraId="2DA4A918" w14:textId="77777777" w:rsidR="005C3761" w:rsidRPr="00960097" w:rsidRDefault="00E657F5" w:rsidP="005C3761">
            <w:pPr>
              <w:rPr>
                <w:rFonts w:eastAsia="Cambria" w:cs="Arial"/>
                <w:sz w:val="18"/>
                <w:szCs w:val="18"/>
                <w:lang w:eastAsia="en-GB"/>
              </w:rPr>
            </w:pPr>
            <w:r>
              <w:rPr>
                <w:rFonts w:eastAsia="Cambria" w:cs="Arial"/>
                <w:sz w:val="18"/>
                <w:szCs w:val="18"/>
                <w:lang w:eastAsia="en-GB"/>
              </w:rPr>
              <w:t xml:space="preserve">MCHW </w:t>
            </w:r>
            <w:r w:rsidR="00014C12" w:rsidRPr="00960097">
              <w:rPr>
                <w:rFonts w:eastAsia="Cambria" w:cs="Arial"/>
                <w:sz w:val="18"/>
                <w:szCs w:val="18"/>
                <w:lang w:eastAsia="en-GB"/>
              </w:rPr>
              <w:t>Cl948</w:t>
            </w:r>
            <w:r w:rsidR="00AA5E22">
              <w:rPr>
                <w:rFonts w:eastAsia="Cambria" w:cs="Arial"/>
                <w:sz w:val="18"/>
                <w:szCs w:val="18"/>
                <w:lang w:eastAsia="en-GB"/>
              </w:rPr>
              <w:t>/</w:t>
            </w:r>
            <w:r>
              <w:rPr>
                <w:rFonts w:eastAsia="Cambria" w:cs="Arial"/>
                <w:sz w:val="18"/>
                <w:szCs w:val="18"/>
                <w:lang w:eastAsia="en-GB"/>
              </w:rPr>
              <w:t xml:space="preserve"> </w:t>
            </w:r>
            <w:r w:rsidR="00AA5E22">
              <w:rPr>
                <w:rFonts w:eastAsia="Cambria" w:cs="Arial"/>
                <w:sz w:val="18"/>
                <w:szCs w:val="18"/>
                <w:lang w:eastAsia="en-GB"/>
              </w:rPr>
              <w:t>TRL611</w:t>
            </w:r>
            <w:r w:rsidR="00014C12" w:rsidRPr="00960097">
              <w:rPr>
                <w:rFonts w:eastAsia="Cambria" w:cs="Arial"/>
                <w:sz w:val="18"/>
                <w:szCs w:val="18"/>
                <w:lang w:eastAsia="en-GB"/>
              </w:rPr>
              <w:t xml:space="preserve"> QVE B3</w:t>
            </w:r>
            <w:r w:rsidR="0019089C">
              <w:rPr>
                <w:rFonts w:eastAsia="Cambria" w:cs="Arial"/>
                <w:sz w:val="18"/>
                <w:szCs w:val="18"/>
                <w:lang w:eastAsia="en-GB"/>
              </w:rPr>
              <w:t xml:space="preserve"> (Bitumen Bound)</w:t>
            </w:r>
          </w:p>
        </w:tc>
        <w:tc>
          <w:tcPr>
            <w:tcW w:w="0" w:type="auto"/>
            <w:tcBorders>
              <w:top w:val="single" w:sz="18" w:space="0" w:color="auto"/>
              <w:left w:val="single" w:sz="12" w:space="0" w:color="auto"/>
            </w:tcBorders>
            <w:shd w:val="clear" w:color="auto" w:fill="FBE4D5"/>
            <w:vAlign w:val="center"/>
          </w:tcPr>
          <w:p w14:paraId="20F7D78F"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60 mm</w:t>
            </w:r>
          </w:p>
        </w:tc>
        <w:tc>
          <w:tcPr>
            <w:tcW w:w="0" w:type="auto"/>
            <w:tcBorders>
              <w:top w:val="single" w:sz="18" w:space="0" w:color="auto"/>
            </w:tcBorders>
            <w:shd w:val="clear" w:color="auto" w:fill="FBE4D5"/>
            <w:vAlign w:val="center"/>
          </w:tcPr>
          <w:p w14:paraId="5F155A9F"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60 mm</w:t>
            </w:r>
          </w:p>
        </w:tc>
        <w:tc>
          <w:tcPr>
            <w:tcW w:w="0" w:type="auto"/>
            <w:tcBorders>
              <w:top w:val="single" w:sz="18" w:space="0" w:color="auto"/>
            </w:tcBorders>
            <w:shd w:val="clear" w:color="auto" w:fill="FBE4D5"/>
            <w:vAlign w:val="center"/>
          </w:tcPr>
          <w:p w14:paraId="51425F27"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c>
          <w:tcPr>
            <w:tcW w:w="0" w:type="auto"/>
            <w:tcBorders>
              <w:top w:val="single" w:sz="18" w:space="0" w:color="auto"/>
              <w:right w:val="single" w:sz="12" w:space="0" w:color="auto"/>
            </w:tcBorders>
            <w:shd w:val="clear" w:color="auto" w:fill="FBE4D5"/>
            <w:vAlign w:val="center"/>
          </w:tcPr>
          <w:p w14:paraId="7A492964"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r>
      <w:tr w:rsidR="00B933CA" w14:paraId="6AE745E2" w14:textId="77777777" w:rsidTr="002F2B15">
        <w:trPr>
          <w:trHeight w:val="8"/>
        </w:trPr>
        <w:tc>
          <w:tcPr>
            <w:tcW w:w="0" w:type="auto"/>
            <w:vMerge/>
            <w:tcBorders>
              <w:left w:val="single" w:sz="12" w:space="0" w:color="auto"/>
              <w:right w:val="single" w:sz="18" w:space="0" w:color="auto"/>
            </w:tcBorders>
            <w:shd w:val="clear" w:color="auto" w:fill="8EAADB"/>
          </w:tcPr>
          <w:p w14:paraId="374D8878" w14:textId="77777777" w:rsidR="005C3761" w:rsidRPr="00960097" w:rsidRDefault="005C3761" w:rsidP="005C3761">
            <w:pPr>
              <w:rPr>
                <w:rFonts w:eastAsia="Cambria" w:cs="Arial"/>
                <w:b/>
                <w:bCs/>
                <w:sz w:val="18"/>
                <w:szCs w:val="18"/>
                <w:lang w:eastAsia="en-GB"/>
              </w:rPr>
            </w:pPr>
          </w:p>
        </w:tc>
        <w:tc>
          <w:tcPr>
            <w:tcW w:w="0" w:type="auto"/>
            <w:vMerge w:val="restart"/>
            <w:tcBorders>
              <w:left w:val="single" w:sz="18" w:space="0" w:color="auto"/>
            </w:tcBorders>
            <w:shd w:val="clear" w:color="auto" w:fill="FBE4D5"/>
            <w:vAlign w:val="center"/>
          </w:tcPr>
          <w:p w14:paraId="34792515" w14:textId="77777777" w:rsidR="005C3761" w:rsidRPr="00960097" w:rsidRDefault="00E657F5" w:rsidP="005C3761">
            <w:pPr>
              <w:rPr>
                <w:rFonts w:eastAsia="Cambria" w:cs="Arial"/>
                <w:sz w:val="18"/>
                <w:szCs w:val="18"/>
                <w:lang w:eastAsia="en-GB"/>
              </w:rPr>
            </w:pPr>
            <w:r w:rsidRPr="00960097">
              <w:rPr>
                <w:rFonts w:eastAsia="Cambria" w:cs="Arial"/>
                <w:sz w:val="18"/>
                <w:szCs w:val="18"/>
                <w:lang w:eastAsia="en-GB"/>
              </w:rPr>
              <w:t>Hot Mix Bitumen Bound</w:t>
            </w:r>
            <w:r w:rsidR="00A907CB">
              <w:rPr>
                <w:rFonts w:eastAsia="Cambria" w:cs="Arial"/>
                <w:sz w:val="18"/>
                <w:szCs w:val="18"/>
                <w:vertAlign w:val="superscript"/>
                <w:lang w:eastAsia="en-GB"/>
              </w:rPr>
              <w:t>5</w:t>
            </w:r>
          </w:p>
        </w:tc>
        <w:tc>
          <w:tcPr>
            <w:tcW w:w="0" w:type="auto"/>
            <w:tcBorders>
              <w:right w:val="single" w:sz="12" w:space="0" w:color="auto"/>
            </w:tcBorders>
            <w:shd w:val="clear" w:color="auto" w:fill="FBE4D5"/>
            <w:vAlign w:val="center"/>
          </w:tcPr>
          <w:p w14:paraId="26906707" w14:textId="77777777" w:rsidR="005C3761" w:rsidRPr="00960097" w:rsidRDefault="00E657F5" w:rsidP="005C3761">
            <w:pPr>
              <w:rPr>
                <w:rFonts w:eastAsia="Cambria" w:cs="Arial"/>
                <w:sz w:val="18"/>
                <w:szCs w:val="18"/>
                <w:lang w:eastAsia="en-GB"/>
              </w:rPr>
            </w:pPr>
            <w:r>
              <w:rPr>
                <w:rFonts w:eastAsia="Cambria" w:cs="Arial"/>
                <w:sz w:val="18"/>
                <w:szCs w:val="18"/>
                <w:lang w:eastAsia="en-GB"/>
              </w:rPr>
              <w:t xml:space="preserve">MCHW </w:t>
            </w:r>
            <w:r w:rsidR="00014C12" w:rsidRPr="00960097">
              <w:rPr>
                <w:rFonts w:eastAsia="Cambria" w:cs="Arial"/>
                <w:sz w:val="18"/>
                <w:szCs w:val="18"/>
                <w:lang w:eastAsia="en-GB"/>
              </w:rPr>
              <w:t>Cl906 AC 20 dense bin 100/150 rec WTA</w:t>
            </w:r>
          </w:p>
        </w:tc>
        <w:tc>
          <w:tcPr>
            <w:tcW w:w="0" w:type="auto"/>
            <w:tcBorders>
              <w:left w:val="single" w:sz="12" w:space="0" w:color="auto"/>
            </w:tcBorders>
            <w:shd w:val="clear" w:color="auto" w:fill="FBE4D5"/>
            <w:vAlign w:val="center"/>
          </w:tcPr>
          <w:p w14:paraId="0CCD4D90" w14:textId="77777777" w:rsidR="005C3761" w:rsidRPr="00960097" w:rsidRDefault="00E657F5" w:rsidP="005C3761">
            <w:pPr>
              <w:jc w:val="center"/>
              <w:rPr>
                <w:rFonts w:eastAsia="Cambria" w:cs="Arial"/>
                <w:sz w:val="18"/>
                <w:szCs w:val="18"/>
                <w:lang w:eastAsia="en-GB"/>
              </w:rPr>
            </w:pPr>
            <w:r>
              <w:rPr>
                <w:rFonts w:eastAsia="Cambria" w:cs="Arial"/>
                <w:sz w:val="18"/>
                <w:szCs w:val="18"/>
                <w:lang w:eastAsia="en-GB"/>
              </w:rPr>
              <w:t>5</w:t>
            </w:r>
            <w:r w:rsidRPr="00960097">
              <w:rPr>
                <w:rFonts w:eastAsia="Cambria" w:cs="Arial"/>
                <w:sz w:val="18"/>
                <w:szCs w:val="18"/>
                <w:lang w:eastAsia="en-GB"/>
              </w:rPr>
              <w:t>0 mm</w:t>
            </w:r>
          </w:p>
        </w:tc>
        <w:tc>
          <w:tcPr>
            <w:tcW w:w="0" w:type="auto"/>
            <w:shd w:val="clear" w:color="auto" w:fill="FBE4D5"/>
            <w:vAlign w:val="center"/>
          </w:tcPr>
          <w:p w14:paraId="3B2554DF"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60 mm</w:t>
            </w:r>
          </w:p>
        </w:tc>
        <w:tc>
          <w:tcPr>
            <w:tcW w:w="0" w:type="auto"/>
            <w:shd w:val="clear" w:color="auto" w:fill="FBE4D5"/>
            <w:vAlign w:val="center"/>
          </w:tcPr>
          <w:p w14:paraId="2235B466"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c>
          <w:tcPr>
            <w:tcW w:w="0" w:type="auto"/>
            <w:tcBorders>
              <w:right w:val="single" w:sz="12" w:space="0" w:color="auto"/>
            </w:tcBorders>
            <w:shd w:val="clear" w:color="auto" w:fill="FBE4D5"/>
            <w:vAlign w:val="center"/>
          </w:tcPr>
          <w:p w14:paraId="0156682D"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r>
      <w:tr w:rsidR="00B933CA" w14:paraId="41980784" w14:textId="77777777" w:rsidTr="002F2B15">
        <w:trPr>
          <w:trHeight w:val="8"/>
        </w:trPr>
        <w:tc>
          <w:tcPr>
            <w:tcW w:w="0" w:type="auto"/>
            <w:vMerge/>
            <w:tcBorders>
              <w:left w:val="single" w:sz="12" w:space="0" w:color="auto"/>
              <w:right w:val="single" w:sz="18" w:space="0" w:color="auto"/>
            </w:tcBorders>
            <w:shd w:val="clear" w:color="auto" w:fill="8EAADB"/>
          </w:tcPr>
          <w:p w14:paraId="4570F081" w14:textId="77777777" w:rsidR="005C3761" w:rsidRPr="00960097" w:rsidRDefault="005C3761" w:rsidP="005C3761">
            <w:pPr>
              <w:rPr>
                <w:rFonts w:eastAsia="Cambria" w:cs="Arial"/>
                <w:b/>
                <w:bCs/>
                <w:sz w:val="18"/>
                <w:szCs w:val="18"/>
                <w:lang w:eastAsia="en-GB"/>
              </w:rPr>
            </w:pPr>
          </w:p>
        </w:tc>
        <w:tc>
          <w:tcPr>
            <w:tcW w:w="0" w:type="auto"/>
            <w:vMerge/>
            <w:tcBorders>
              <w:left w:val="single" w:sz="18" w:space="0" w:color="auto"/>
            </w:tcBorders>
            <w:shd w:val="clear" w:color="auto" w:fill="FBE4D5"/>
          </w:tcPr>
          <w:p w14:paraId="18C75E8E" w14:textId="77777777" w:rsidR="005C3761" w:rsidRPr="00960097" w:rsidRDefault="005C3761" w:rsidP="005C3761">
            <w:pPr>
              <w:rPr>
                <w:rFonts w:eastAsia="Cambria" w:cs="Arial"/>
                <w:sz w:val="18"/>
                <w:szCs w:val="18"/>
                <w:lang w:eastAsia="en-GB"/>
              </w:rPr>
            </w:pPr>
          </w:p>
        </w:tc>
        <w:tc>
          <w:tcPr>
            <w:tcW w:w="0" w:type="auto"/>
            <w:tcBorders>
              <w:right w:val="single" w:sz="12" w:space="0" w:color="auto"/>
            </w:tcBorders>
            <w:shd w:val="clear" w:color="auto" w:fill="FBE4D5"/>
            <w:vAlign w:val="center"/>
          </w:tcPr>
          <w:p w14:paraId="33833152" w14:textId="77777777" w:rsidR="005C3761" w:rsidRPr="00960097" w:rsidRDefault="00E657F5" w:rsidP="005C3761">
            <w:pPr>
              <w:rPr>
                <w:rFonts w:eastAsia="Cambria" w:cs="Arial"/>
                <w:sz w:val="18"/>
                <w:szCs w:val="18"/>
                <w:lang w:eastAsia="en-GB"/>
              </w:rPr>
            </w:pPr>
            <w:r>
              <w:rPr>
                <w:rFonts w:eastAsia="Cambria" w:cs="Arial"/>
                <w:sz w:val="18"/>
                <w:szCs w:val="18"/>
                <w:lang w:eastAsia="en-GB"/>
              </w:rPr>
              <w:t xml:space="preserve">MCHW </w:t>
            </w:r>
            <w:r w:rsidR="00014C12" w:rsidRPr="00960097">
              <w:rPr>
                <w:rFonts w:eastAsia="Cambria" w:cs="Arial"/>
                <w:sz w:val="18"/>
                <w:szCs w:val="18"/>
                <w:lang w:eastAsia="en-GB"/>
              </w:rPr>
              <w:t>Cl929 AC 20 HDM bin 40/60</w:t>
            </w:r>
            <w:r w:rsidR="00EA3C79" w:rsidRPr="00EA3C79">
              <w:rPr>
                <w:rFonts w:eastAsia="Cambria" w:cs="Arial"/>
                <w:sz w:val="18"/>
                <w:szCs w:val="18"/>
                <w:vertAlign w:val="superscript"/>
                <w:lang w:eastAsia="en-GB"/>
              </w:rPr>
              <w:t>6</w:t>
            </w:r>
            <w:r w:rsidR="00014C12" w:rsidRPr="00960097">
              <w:rPr>
                <w:rFonts w:eastAsia="Cambria" w:cs="Arial"/>
                <w:sz w:val="18"/>
                <w:szCs w:val="18"/>
                <w:lang w:eastAsia="en-GB"/>
              </w:rPr>
              <w:t xml:space="preserve"> des WTA</w:t>
            </w:r>
          </w:p>
        </w:tc>
        <w:tc>
          <w:tcPr>
            <w:tcW w:w="0" w:type="auto"/>
            <w:tcBorders>
              <w:left w:val="single" w:sz="12" w:space="0" w:color="auto"/>
            </w:tcBorders>
            <w:shd w:val="clear" w:color="auto" w:fill="FBE4D5"/>
            <w:vAlign w:val="center"/>
          </w:tcPr>
          <w:p w14:paraId="4B07F86C"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c>
          <w:tcPr>
            <w:tcW w:w="0" w:type="auto"/>
            <w:shd w:val="clear" w:color="auto" w:fill="FBE4D5"/>
            <w:vAlign w:val="center"/>
          </w:tcPr>
          <w:p w14:paraId="0BD214B7"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c>
          <w:tcPr>
            <w:tcW w:w="0" w:type="auto"/>
            <w:shd w:val="clear" w:color="auto" w:fill="FBE4D5"/>
            <w:vAlign w:val="center"/>
          </w:tcPr>
          <w:p w14:paraId="15715CEA"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60 mm</w:t>
            </w:r>
          </w:p>
        </w:tc>
        <w:tc>
          <w:tcPr>
            <w:tcW w:w="0" w:type="auto"/>
            <w:tcBorders>
              <w:right w:val="single" w:sz="12" w:space="0" w:color="auto"/>
            </w:tcBorders>
            <w:shd w:val="clear" w:color="auto" w:fill="FBE4D5"/>
            <w:vAlign w:val="center"/>
          </w:tcPr>
          <w:p w14:paraId="39064BD5" w14:textId="77777777" w:rsidR="005C3761" w:rsidRPr="00960097" w:rsidRDefault="00E657F5" w:rsidP="005C3761">
            <w:pPr>
              <w:jc w:val="center"/>
              <w:rPr>
                <w:rFonts w:eastAsia="Cambria" w:cs="Arial"/>
                <w:sz w:val="18"/>
                <w:szCs w:val="18"/>
                <w:lang w:eastAsia="en-GB"/>
              </w:rPr>
            </w:pPr>
            <w:r w:rsidRPr="00960097">
              <w:rPr>
                <w:rFonts w:eastAsia="Cambria" w:cs="Arial"/>
                <w:sz w:val="18"/>
                <w:szCs w:val="18"/>
                <w:lang w:eastAsia="en-GB"/>
              </w:rPr>
              <w:t>60 mm</w:t>
            </w:r>
          </w:p>
        </w:tc>
      </w:tr>
      <w:tr w:rsidR="00B933CA" w14:paraId="5A45B198" w14:textId="77777777" w:rsidTr="002F2B15">
        <w:trPr>
          <w:trHeight w:val="33"/>
        </w:trPr>
        <w:tc>
          <w:tcPr>
            <w:tcW w:w="0" w:type="auto"/>
            <w:vMerge w:val="restart"/>
            <w:tcBorders>
              <w:top w:val="single" w:sz="12" w:space="0" w:color="auto"/>
              <w:left w:val="single" w:sz="12" w:space="0" w:color="auto"/>
              <w:right w:val="single" w:sz="18" w:space="0" w:color="auto"/>
            </w:tcBorders>
            <w:shd w:val="clear" w:color="auto" w:fill="8EAADB"/>
            <w:vAlign w:val="center"/>
          </w:tcPr>
          <w:p w14:paraId="00652454" w14:textId="77777777" w:rsidR="00955626" w:rsidRPr="00960097" w:rsidRDefault="00E657F5" w:rsidP="005C3761">
            <w:pPr>
              <w:rPr>
                <w:rFonts w:eastAsia="Cambria" w:cs="Arial"/>
                <w:b/>
                <w:bCs/>
                <w:sz w:val="18"/>
                <w:szCs w:val="18"/>
                <w:lang w:eastAsia="en-GB"/>
              </w:rPr>
            </w:pPr>
            <w:r w:rsidRPr="00960097">
              <w:rPr>
                <w:rFonts w:eastAsia="Cambria" w:cs="Arial"/>
                <w:b/>
                <w:bCs/>
                <w:sz w:val="18"/>
                <w:szCs w:val="18"/>
                <w:lang w:eastAsia="en-GB"/>
              </w:rPr>
              <w:t>Surface Course</w:t>
            </w:r>
          </w:p>
        </w:tc>
        <w:tc>
          <w:tcPr>
            <w:tcW w:w="0" w:type="auto"/>
            <w:vMerge w:val="restart"/>
            <w:tcBorders>
              <w:top w:val="single" w:sz="12" w:space="0" w:color="auto"/>
              <w:left w:val="single" w:sz="18" w:space="0" w:color="auto"/>
            </w:tcBorders>
            <w:shd w:val="clear" w:color="auto" w:fill="FBE4D5"/>
          </w:tcPr>
          <w:p w14:paraId="432F6808" w14:textId="77777777" w:rsidR="00955626" w:rsidRPr="00960097" w:rsidRDefault="00E657F5" w:rsidP="005C3761">
            <w:pPr>
              <w:rPr>
                <w:rFonts w:eastAsia="Cambria" w:cs="Arial"/>
                <w:sz w:val="18"/>
                <w:szCs w:val="18"/>
                <w:lang w:eastAsia="en-GB"/>
              </w:rPr>
            </w:pPr>
            <w:r w:rsidRPr="00960097">
              <w:rPr>
                <w:rFonts w:eastAsia="Cambria" w:cs="Arial"/>
                <w:sz w:val="18"/>
                <w:szCs w:val="18"/>
                <w:lang w:eastAsia="en-GB"/>
              </w:rPr>
              <w:t>Stone Mastic Asphalt</w:t>
            </w:r>
          </w:p>
        </w:tc>
        <w:tc>
          <w:tcPr>
            <w:tcW w:w="0" w:type="auto"/>
            <w:tcBorders>
              <w:top w:val="single" w:sz="12" w:space="0" w:color="auto"/>
              <w:right w:val="single" w:sz="12" w:space="0" w:color="auto"/>
            </w:tcBorders>
            <w:shd w:val="clear" w:color="auto" w:fill="FBE4D5"/>
            <w:vAlign w:val="center"/>
          </w:tcPr>
          <w:p w14:paraId="0CB6D99F" w14:textId="77777777" w:rsidR="00955626" w:rsidRPr="00960097" w:rsidRDefault="00E657F5" w:rsidP="005C3761">
            <w:pPr>
              <w:rPr>
                <w:rFonts w:eastAsia="Cambria" w:cs="Arial"/>
                <w:sz w:val="18"/>
                <w:szCs w:val="18"/>
                <w:lang w:eastAsia="en-GB"/>
              </w:rPr>
            </w:pPr>
            <w:r w:rsidRPr="00960097">
              <w:rPr>
                <w:rFonts w:eastAsia="Cambria" w:cs="Arial"/>
                <w:sz w:val="18"/>
                <w:szCs w:val="18"/>
                <w:lang w:eastAsia="en-GB"/>
              </w:rPr>
              <w:t>SMA 10 surf 100/150 surf WTA</w:t>
            </w:r>
          </w:p>
        </w:tc>
        <w:tc>
          <w:tcPr>
            <w:tcW w:w="0" w:type="auto"/>
            <w:tcBorders>
              <w:top w:val="single" w:sz="12" w:space="0" w:color="auto"/>
              <w:left w:val="single" w:sz="12" w:space="0" w:color="auto"/>
            </w:tcBorders>
            <w:shd w:val="clear" w:color="auto" w:fill="FBE4D5"/>
            <w:vAlign w:val="center"/>
          </w:tcPr>
          <w:p w14:paraId="5DC75B0A"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c>
          <w:tcPr>
            <w:tcW w:w="0" w:type="auto"/>
            <w:tcBorders>
              <w:top w:val="single" w:sz="12" w:space="0" w:color="auto"/>
            </w:tcBorders>
            <w:shd w:val="clear" w:color="auto" w:fill="FBE4D5"/>
            <w:vAlign w:val="center"/>
          </w:tcPr>
          <w:p w14:paraId="43FC63E7"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40 mm</w:t>
            </w:r>
          </w:p>
        </w:tc>
        <w:tc>
          <w:tcPr>
            <w:tcW w:w="0" w:type="auto"/>
            <w:tcBorders>
              <w:top w:val="single" w:sz="12" w:space="0" w:color="auto"/>
            </w:tcBorders>
            <w:shd w:val="clear" w:color="auto" w:fill="FBE4D5"/>
            <w:vAlign w:val="center"/>
          </w:tcPr>
          <w:p w14:paraId="44916385"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c>
          <w:tcPr>
            <w:tcW w:w="0" w:type="auto"/>
            <w:tcBorders>
              <w:top w:val="single" w:sz="18" w:space="0" w:color="auto"/>
              <w:right w:val="single" w:sz="12" w:space="0" w:color="auto"/>
            </w:tcBorders>
            <w:shd w:val="clear" w:color="auto" w:fill="FBE4D5"/>
            <w:vAlign w:val="center"/>
          </w:tcPr>
          <w:p w14:paraId="18A3AD8D"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r>
      <w:tr w:rsidR="00B933CA" w14:paraId="0185B77D" w14:textId="77777777" w:rsidTr="002F2B15">
        <w:trPr>
          <w:trHeight w:val="8"/>
        </w:trPr>
        <w:tc>
          <w:tcPr>
            <w:tcW w:w="0" w:type="auto"/>
            <w:vMerge/>
            <w:tcBorders>
              <w:left w:val="single" w:sz="12" w:space="0" w:color="auto"/>
              <w:right w:val="single" w:sz="18" w:space="0" w:color="auto"/>
            </w:tcBorders>
            <w:shd w:val="clear" w:color="auto" w:fill="8EAADB"/>
          </w:tcPr>
          <w:p w14:paraId="3EBAF6FA" w14:textId="77777777" w:rsidR="00955626" w:rsidRPr="00960097" w:rsidRDefault="00955626" w:rsidP="005C3761">
            <w:pPr>
              <w:rPr>
                <w:rFonts w:eastAsia="Cambria" w:cs="Arial"/>
                <w:b/>
                <w:bCs/>
                <w:sz w:val="18"/>
                <w:szCs w:val="18"/>
                <w:lang w:eastAsia="en-GB"/>
              </w:rPr>
            </w:pPr>
          </w:p>
        </w:tc>
        <w:tc>
          <w:tcPr>
            <w:tcW w:w="0" w:type="auto"/>
            <w:vMerge/>
            <w:tcBorders>
              <w:left w:val="single" w:sz="18" w:space="0" w:color="auto"/>
            </w:tcBorders>
            <w:shd w:val="clear" w:color="auto" w:fill="FBE4D5"/>
          </w:tcPr>
          <w:p w14:paraId="25A197BC" w14:textId="77777777" w:rsidR="00955626" w:rsidRPr="00960097" w:rsidRDefault="00955626" w:rsidP="005C3761">
            <w:pPr>
              <w:rPr>
                <w:rFonts w:eastAsia="Cambria" w:cs="Arial"/>
                <w:sz w:val="18"/>
                <w:szCs w:val="18"/>
                <w:lang w:eastAsia="en-GB"/>
              </w:rPr>
            </w:pPr>
          </w:p>
        </w:tc>
        <w:tc>
          <w:tcPr>
            <w:tcW w:w="0" w:type="auto"/>
            <w:tcBorders>
              <w:right w:val="single" w:sz="12" w:space="0" w:color="auto"/>
            </w:tcBorders>
            <w:shd w:val="clear" w:color="auto" w:fill="FBE4D5"/>
            <w:vAlign w:val="center"/>
          </w:tcPr>
          <w:p w14:paraId="4346C2A4" w14:textId="77777777" w:rsidR="00955626" w:rsidRPr="00960097" w:rsidRDefault="00E657F5" w:rsidP="005C3761">
            <w:pPr>
              <w:rPr>
                <w:rFonts w:eastAsia="Cambria" w:cs="Arial"/>
                <w:sz w:val="18"/>
                <w:szCs w:val="18"/>
                <w:lang w:eastAsia="en-GB"/>
              </w:rPr>
            </w:pPr>
            <w:r w:rsidRPr="00960097">
              <w:rPr>
                <w:rFonts w:eastAsia="Cambria" w:cs="Arial"/>
                <w:sz w:val="18"/>
                <w:szCs w:val="18"/>
                <w:lang w:eastAsia="en-GB"/>
              </w:rPr>
              <w:t>SMA 10 surf PMB75/130-75 WTA</w:t>
            </w:r>
            <w:r w:rsidR="00EA3C79" w:rsidRPr="00EA3C79">
              <w:rPr>
                <w:rFonts w:eastAsia="Cambria" w:cs="Arial"/>
                <w:sz w:val="18"/>
                <w:szCs w:val="18"/>
                <w:vertAlign w:val="superscript"/>
                <w:lang w:eastAsia="en-GB"/>
              </w:rPr>
              <w:t>6</w:t>
            </w:r>
          </w:p>
        </w:tc>
        <w:tc>
          <w:tcPr>
            <w:tcW w:w="0" w:type="auto"/>
            <w:tcBorders>
              <w:left w:val="single" w:sz="12" w:space="0" w:color="auto"/>
            </w:tcBorders>
            <w:shd w:val="clear" w:color="auto" w:fill="FBE4D5"/>
            <w:vAlign w:val="center"/>
          </w:tcPr>
          <w:p w14:paraId="0CA5E207"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c>
          <w:tcPr>
            <w:tcW w:w="0" w:type="auto"/>
            <w:shd w:val="clear" w:color="auto" w:fill="FBE4D5"/>
            <w:vAlign w:val="center"/>
          </w:tcPr>
          <w:p w14:paraId="52DCCEDB"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c>
          <w:tcPr>
            <w:tcW w:w="0" w:type="auto"/>
            <w:shd w:val="clear" w:color="auto" w:fill="FBE4D5"/>
            <w:vAlign w:val="center"/>
          </w:tcPr>
          <w:p w14:paraId="7BF876C1"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40 mm</w:t>
            </w:r>
          </w:p>
        </w:tc>
        <w:tc>
          <w:tcPr>
            <w:tcW w:w="0" w:type="auto"/>
            <w:tcBorders>
              <w:right w:val="single" w:sz="12" w:space="0" w:color="auto"/>
            </w:tcBorders>
            <w:shd w:val="clear" w:color="auto" w:fill="FBE4D5"/>
            <w:vAlign w:val="center"/>
          </w:tcPr>
          <w:p w14:paraId="05F0CA18"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40 mm</w:t>
            </w:r>
          </w:p>
        </w:tc>
      </w:tr>
      <w:tr w:rsidR="00B933CA" w14:paraId="4D41808E" w14:textId="77777777" w:rsidTr="002F2B15">
        <w:trPr>
          <w:trHeight w:val="8"/>
        </w:trPr>
        <w:tc>
          <w:tcPr>
            <w:tcW w:w="0" w:type="auto"/>
            <w:vMerge/>
            <w:tcBorders>
              <w:left w:val="single" w:sz="12" w:space="0" w:color="auto"/>
              <w:right w:val="single" w:sz="18" w:space="0" w:color="auto"/>
            </w:tcBorders>
            <w:shd w:val="clear" w:color="auto" w:fill="8EAADB"/>
          </w:tcPr>
          <w:p w14:paraId="01DCF5CE" w14:textId="77777777" w:rsidR="00955626" w:rsidRPr="00960097" w:rsidRDefault="00955626" w:rsidP="005C3761">
            <w:pPr>
              <w:rPr>
                <w:rFonts w:eastAsia="Cambria" w:cs="Arial"/>
                <w:b/>
                <w:bCs/>
                <w:sz w:val="18"/>
                <w:szCs w:val="18"/>
                <w:lang w:eastAsia="en-GB"/>
              </w:rPr>
            </w:pPr>
          </w:p>
        </w:tc>
        <w:tc>
          <w:tcPr>
            <w:tcW w:w="0" w:type="auto"/>
            <w:vMerge w:val="restart"/>
            <w:tcBorders>
              <w:left w:val="single" w:sz="18" w:space="0" w:color="auto"/>
            </w:tcBorders>
            <w:shd w:val="clear" w:color="auto" w:fill="FBE4D5"/>
          </w:tcPr>
          <w:p w14:paraId="14CE8694" w14:textId="77777777" w:rsidR="00955626" w:rsidRPr="00960097" w:rsidRDefault="00E657F5" w:rsidP="005C3761">
            <w:pPr>
              <w:rPr>
                <w:rFonts w:eastAsia="Cambria" w:cs="Arial"/>
                <w:sz w:val="18"/>
                <w:szCs w:val="18"/>
                <w:lang w:eastAsia="en-GB"/>
              </w:rPr>
            </w:pPr>
            <w:r w:rsidRPr="00960097">
              <w:rPr>
                <w:rFonts w:eastAsia="Cambria" w:cs="Arial"/>
                <w:sz w:val="18"/>
                <w:szCs w:val="18"/>
                <w:lang w:eastAsia="en-GB"/>
              </w:rPr>
              <w:t>Hot Rolled Asphalt</w:t>
            </w:r>
          </w:p>
        </w:tc>
        <w:tc>
          <w:tcPr>
            <w:tcW w:w="0" w:type="auto"/>
            <w:tcBorders>
              <w:right w:val="single" w:sz="12" w:space="0" w:color="auto"/>
            </w:tcBorders>
            <w:shd w:val="clear" w:color="auto" w:fill="FBE4D5"/>
            <w:vAlign w:val="center"/>
          </w:tcPr>
          <w:p w14:paraId="520D9738" w14:textId="77777777" w:rsidR="00955626" w:rsidRPr="00960097" w:rsidRDefault="00E657F5" w:rsidP="005C3761">
            <w:pPr>
              <w:rPr>
                <w:rFonts w:eastAsia="Cambria" w:cs="Arial"/>
                <w:sz w:val="18"/>
                <w:szCs w:val="18"/>
                <w:lang w:eastAsia="en-GB"/>
              </w:rPr>
            </w:pPr>
            <w:r w:rsidRPr="00960097">
              <w:rPr>
                <w:rFonts w:eastAsia="Cambria" w:cs="Arial"/>
                <w:sz w:val="18"/>
                <w:szCs w:val="18"/>
                <w:lang w:eastAsia="en-GB"/>
              </w:rPr>
              <w:t>HRA 55/10 F or C surf 100/150</w:t>
            </w:r>
            <w:r w:rsidR="00356C1F">
              <w:rPr>
                <w:rFonts w:eastAsia="Cambria" w:cs="Arial"/>
                <w:sz w:val="18"/>
                <w:szCs w:val="18"/>
                <w:lang w:eastAsia="en-GB"/>
              </w:rPr>
              <w:t xml:space="preserve"> des</w:t>
            </w:r>
          </w:p>
        </w:tc>
        <w:tc>
          <w:tcPr>
            <w:tcW w:w="0" w:type="auto"/>
            <w:tcBorders>
              <w:left w:val="single" w:sz="12" w:space="0" w:color="auto"/>
            </w:tcBorders>
            <w:shd w:val="clear" w:color="auto" w:fill="FBE4D5"/>
            <w:vAlign w:val="center"/>
          </w:tcPr>
          <w:p w14:paraId="6E6F1A6B"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40 mm</w:t>
            </w:r>
          </w:p>
        </w:tc>
        <w:tc>
          <w:tcPr>
            <w:tcW w:w="0" w:type="auto"/>
            <w:shd w:val="clear" w:color="auto" w:fill="FBE4D5"/>
            <w:vAlign w:val="center"/>
          </w:tcPr>
          <w:p w14:paraId="37555F93" w14:textId="77777777" w:rsidR="00955626" w:rsidRPr="00960097" w:rsidRDefault="00E657F5" w:rsidP="005C3761">
            <w:pPr>
              <w:jc w:val="center"/>
              <w:rPr>
                <w:rFonts w:eastAsia="Cambria" w:cs="Arial"/>
                <w:sz w:val="18"/>
                <w:szCs w:val="18"/>
                <w:lang w:eastAsia="en-GB"/>
              </w:rPr>
            </w:pPr>
            <w:r>
              <w:rPr>
                <w:rFonts w:eastAsia="Cambria" w:cs="Arial"/>
                <w:sz w:val="18"/>
                <w:szCs w:val="18"/>
                <w:lang w:eastAsia="en-GB"/>
              </w:rPr>
              <w:t>-</w:t>
            </w:r>
          </w:p>
        </w:tc>
        <w:tc>
          <w:tcPr>
            <w:tcW w:w="0" w:type="auto"/>
            <w:shd w:val="clear" w:color="auto" w:fill="FBE4D5"/>
            <w:vAlign w:val="center"/>
          </w:tcPr>
          <w:p w14:paraId="61406909"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c>
          <w:tcPr>
            <w:tcW w:w="0" w:type="auto"/>
            <w:tcBorders>
              <w:right w:val="single" w:sz="12" w:space="0" w:color="auto"/>
            </w:tcBorders>
            <w:shd w:val="clear" w:color="auto" w:fill="FBE4D5"/>
            <w:vAlign w:val="center"/>
          </w:tcPr>
          <w:p w14:paraId="7F0A67EA"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r>
      <w:tr w:rsidR="00B933CA" w14:paraId="4DE92F95" w14:textId="77777777" w:rsidTr="002F2B15">
        <w:trPr>
          <w:trHeight w:val="8"/>
        </w:trPr>
        <w:tc>
          <w:tcPr>
            <w:tcW w:w="0" w:type="auto"/>
            <w:vMerge/>
            <w:tcBorders>
              <w:left w:val="single" w:sz="12" w:space="0" w:color="auto"/>
              <w:right w:val="single" w:sz="18" w:space="0" w:color="auto"/>
            </w:tcBorders>
            <w:shd w:val="clear" w:color="auto" w:fill="8EAADB"/>
          </w:tcPr>
          <w:p w14:paraId="64EDADDC" w14:textId="77777777" w:rsidR="00955626" w:rsidRPr="00960097" w:rsidRDefault="00955626" w:rsidP="005C3761">
            <w:pPr>
              <w:rPr>
                <w:rFonts w:eastAsia="Cambria" w:cs="Arial"/>
                <w:b/>
                <w:bCs/>
                <w:sz w:val="18"/>
                <w:szCs w:val="18"/>
                <w:lang w:eastAsia="en-GB"/>
              </w:rPr>
            </w:pPr>
          </w:p>
        </w:tc>
        <w:tc>
          <w:tcPr>
            <w:tcW w:w="0" w:type="auto"/>
            <w:vMerge/>
            <w:tcBorders>
              <w:left w:val="single" w:sz="18" w:space="0" w:color="auto"/>
            </w:tcBorders>
            <w:shd w:val="clear" w:color="auto" w:fill="FBE4D5"/>
          </w:tcPr>
          <w:p w14:paraId="0D33CECE" w14:textId="77777777" w:rsidR="00955626" w:rsidRPr="00960097" w:rsidRDefault="00955626" w:rsidP="005C3761">
            <w:pPr>
              <w:rPr>
                <w:rFonts w:eastAsia="Cambria" w:cs="Arial"/>
                <w:sz w:val="18"/>
                <w:szCs w:val="18"/>
                <w:lang w:eastAsia="en-GB"/>
              </w:rPr>
            </w:pPr>
          </w:p>
        </w:tc>
        <w:tc>
          <w:tcPr>
            <w:tcW w:w="0" w:type="auto"/>
            <w:tcBorders>
              <w:right w:val="single" w:sz="12" w:space="0" w:color="auto"/>
            </w:tcBorders>
            <w:shd w:val="clear" w:color="auto" w:fill="FBE4D5"/>
            <w:vAlign w:val="center"/>
          </w:tcPr>
          <w:p w14:paraId="17916E4F" w14:textId="77777777" w:rsidR="00955626" w:rsidRPr="00960097" w:rsidRDefault="00E657F5" w:rsidP="005C3761">
            <w:pPr>
              <w:rPr>
                <w:rFonts w:eastAsia="Cambria" w:cs="Arial"/>
                <w:sz w:val="18"/>
                <w:szCs w:val="18"/>
                <w:lang w:eastAsia="en-GB"/>
              </w:rPr>
            </w:pPr>
            <w:r w:rsidRPr="00960097">
              <w:rPr>
                <w:rFonts w:eastAsia="Cambria" w:cs="Arial"/>
                <w:sz w:val="18"/>
                <w:szCs w:val="18"/>
                <w:lang w:eastAsia="en-GB"/>
              </w:rPr>
              <w:t>HRA 30/14 40/60 F surf des</w:t>
            </w:r>
          </w:p>
        </w:tc>
        <w:tc>
          <w:tcPr>
            <w:tcW w:w="0" w:type="auto"/>
            <w:tcBorders>
              <w:left w:val="single" w:sz="12" w:space="0" w:color="auto"/>
            </w:tcBorders>
            <w:shd w:val="clear" w:color="auto" w:fill="FBE4D5"/>
            <w:vAlign w:val="center"/>
          </w:tcPr>
          <w:p w14:paraId="41418C63"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40 mm</w:t>
            </w:r>
          </w:p>
        </w:tc>
        <w:tc>
          <w:tcPr>
            <w:tcW w:w="0" w:type="auto"/>
            <w:shd w:val="clear" w:color="auto" w:fill="FBE4D5"/>
            <w:vAlign w:val="center"/>
          </w:tcPr>
          <w:p w14:paraId="0AB39AF1"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40 mm</w:t>
            </w:r>
          </w:p>
        </w:tc>
        <w:tc>
          <w:tcPr>
            <w:tcW w:w="0" w:type="auto"/>
            <w:shd w:val="clear" w:color="auto" w:fill="FBE4D5"/>
            <w:vAlign w:val="center"/>
          </w:tcPr>
          <w:p w14:paraId="274BD563"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c>
          <w:tcPr>
            <w:tcW w:w="0" w:type="auto"/>
            <w:tcBorders>
              <w:right w:val="single" w:sz="12" w:space="0" w:color="auto"/>
            </w:tcBorders>
            <w:shd w:val="clear" w:color="auto" w:fill="FBE4D5"/>
            <w:vAlign w:val="center"/>
          </w:tcPr>
          <w:p w14:paraId="2345F588"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r>
      <w:tr w:rsidR="00B933CA" w14:paraId="1E3A455B" w14:textId="77777777" w:rsidTr="002F2B15">
        <w:trPr>
          <w:trHeight w:val="8"/>
        </w:trPr>
        <w:tc>
          <w:tcPr>
            <w:tcW w:w="0" w:type="auto"/>
            <w:vMerge/>
            <w:tcBorders>
              <w:left w:val="single" w:sz="12" w:space="0" w:color="auto"/>
              <w:right w:val="single" w:sz="18" w:space="0" w:color="auto"/>
            </w:tcBorders>
            <w:shd w:val="clear" w:color="auto" w:fill="8EAADB"/>
          </w:tcPr>
          <w:p w14:paraId="05D3446B" w14:textId="77777777" w:rsidR="00955626" w:rsidRPr="00960097" w:rsidRDefault="00955626" w:rsidP="005C3761">
            <w:pPr>
              <w:rPr>
                <w:rFonts w:eastAsia="Cambria" w:cs="Arial"/>
                <w:b/>
                <w:bCs/>
                <w:sz w:val="18"/>
                <w:szCs w:val="18"/>
                <w:lang w:eastAsia="en-GB"/>
              </w:rPr>
            </w:pPr>
          </w:p>
        </w:tc>
        <w:tc>
          <w:tcPr>
            <w:tcW w:w="0" w:type="auto"/>
            <w:tcBorders>
              <w:left w:val="single" w:sz="18" w:space="0" w:color="auto"/>
              <w:bottom w:val="single" w:sz="12" w:space="0" w:color="auto"/>
            </w:tcBorders>
            <w:shd w:val="clear" w:color="auto" w:fill="FBE4D5"/>
          </w:tcPr>
          <w:p w14:paraId="14F475D2" w14:textId="77777777" w:rsidR="00955626" w:rsidRPr="00960097" w:rsidRDefault="00E657F5" w:rsidP="005C3761">
            <w:pPr>
              <w:rPr>
                <w:rFonts w:eastAsia="Cambria" w:cs="Arial"/>
                <w:sz w:val="18"/>
                <w:szCs w:val="18"/>
                <w:lang w:eastAsia="en-GB"/>
              </w:rPr>
            </w:pPr>
            <w:r w:rsidRPr="00960097">
              <w:rPr>
                <w:rFonts w:eastAsia="Cambria" w:cs="Arial"/>
                <w:sz w:val="18"/>
                <w:szCs w:val="18"/>
                <w:lang w:eastAsia="en-GB"/>
              </w:rPr>
              <w:t>Cementitious Grouted Macadam</w:t>
            </w:r>
            <w:r w:rsidR="00EA3C79" w:rsidRPr="00EA3C79">
              <w:rPr>
                <w:rFonts w:eastAsia="Cambria" w:cs="Arial"/>
                <w:sz w:val="18"/>
                <w:szCs w:val="18"/>
                <w:vertAlign w:val="superscript"/>
                <w:lang w:eastAsia="en-GB"/>
              </w:rPr>
              <w:t>7</w:t>
            </w:r>
          </w:p>
        </w:tc>
        <w:tc>
          <w:tcPr>
            <w:tcW w:w="0" w:type="auto"/>
            <w:tcBorders>
              <w:bottom w:val="single" w:sz="12" w:space="0" w:color="auto"/>
              <w:right w:val="single" w:sz="12" w:space="0" w:color="auto"/>
            </w:tcBorders>
            <w:shd w:val="clear" w:color="auto" w:fill="FBE4D5"/>
            <w:vAlign w:val="center"/>
          </w:tcPr>
          <w:p w14:paraId="0158AE91" w14:textId="77777777" w:rsidR="00955626" w:rsidRPr="00960097" w:rsidRDefault="00E657F5" w:rsidP="005C3761">
            <w:pPr>
              <w:rPr>
                <w:rFonts w:eastAsia="Cambria" w:cs="Arial"/>
                <w:sz w:val="18"/>
                <w:szCs w:val="18"/>
                <w:lang w:eastAsia="en-GB"/>
              </w:rPr>
            </w:pPr>
            <w:r w:rsidRPr="00960097">
              <w:rPr>
                <w:rFonts w:eastAsia="Cambria" w:cs="Arial"/>
                <w:sz w:val="18"/>
                <w:szCs w:val="18"/>
                <w:lang w:eastAsia="en-GB"/>
              </w:rPr>
              <w:t>HAPAS Approved Proprietary System</w:t>
            </w:r>
          </w:p>
        </w:tc>
        <w:tc>
          <w:tcPr>
            <w:tcW w:w="0" w:type="auto"/>
            <w:tcBorders>
              <w:left w:val="single" w:sz="12" w:space="0" w:color="auto"/>
              <w:bottom w:val="single" w:sz="12" w:space="0" w:color="auto"/>
            </w:tcBorders>
            <w:shd w:val="clear" w:color="auto" w:fill="FBE4D5"/>
            <w:vAlign w:val="center"/>
          </w:tcPr>
          <w:p w14:paraId="422DA9C5"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c>
          <w:tcPr>
            <w:tcW w:w="0" w:type="auto"/>
            <w:tcBorders>
              <w:bottom w:val="single" w:sz="12" w:space="0" w:color="auto"/>
            </w:tcBorders>
            <w:shd w:val="clear" w:color="auto" w:fill="FBE4D5"/>
            <w:vAlign w:val="center"/>
          </w:tcPr>
          <w:p w14:paraId="6CD6D424"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c>
          <w:tcPr>
            <w:tcW w:w="0" w:type="auto"/>
            <w:tcBorders>
              <w:bottom w:val="single" w:sz="12" w:space="0" w:color="auto"/>
            </w:tcBorders>
            <w:shd w:val="clear" w:color="auto" w:fill="FBE4D5"/>
            <w:vAlign w:val="center"/>
          </w:tcPr>
          <w:p w14:paraId="08954BC3"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w:t>
            </w:r>
          </w:p>
        </w:tc>
        <w:tc>
          <w:tcPr>
            <w:tcW w:w="0" w:type="auto"/>
            <w:tcBorders>
              <w:bottom w:val="single" w:sz="12" w:space="0" w:color="auto"/>
              <w:right w:val="single" w:sz="12" w:space="0" w:color="auto"/>
            </w:tcBorders>
            <w:shd w:val="clear" w:color="auto" w:fill="FBE4D5"/>
            <w:vAlign w:val="center"/>
          </w:tcPr>
          <w:p w14:paraId="628833DB"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40 mm</w:t>
            </w:r>
          </w:p>
        </w:tc>
      </w:tr>
      <w:tr w:rsidR="00B933CA" w14:paraId="02F4BB4A" w14:textId="77777777" w:rsidTr="002F2B15">
        <w:trPr>
          <w:trHeight w:val="8"/>
        </w:trPr>
        <w:tc>
          <w:tcPr>
            <w:tcW w:w="0" w:type="auto"/>
            <w:vMerge/>
            <w:tcBorders>
              <w:left w:val="single" w:sz="12" w:space="0" w:color="auto"/>
              <w:right w:val="single" w:sz="18" w:space="0" w:color="auto"/>
            </w:tcBorders>
            <w:shd w:val="clear" w:color="auto" w:fill="8EAADB"/>
          </w:tcPr>
          <w:p w14:paraId="3C838402" w14:textId="77777777" w:rsidR="00955626" w:rsidRPr="00960097" w:rsidRDefault="00955626" w:rsidP="005C3761">
            <w:pPr>
              <w:rPr>
                <w:rFonts w:eastAsia="Cambria" w:cs="Arial"/>
                <w:b/>
                <w:bCs/>
                <w:sz w:val="18"/>
                <w:szCs w:val="18"/>
                <w:lang w:eastAsia="en-GB"/>
              </w:rPr>
            </w:pPr>
          </w:p>
        </w:tc>
        <w:tc>
          <w:tcPr>
            <w:tcW w:w="0" w:type="auto"/>
            <w:vMerge w:val="restart"/>
            <w:tcBorders>
              <w:top w:val="single" w:sz="12" w:space="0" w:color="auto"/>
              <w:left w:val="single" w:sz="18" w:space="0" w:color="auto"/>
            </w:tcBorders>
            <w:shd w:val="clear" w:color="auto" w:fill="FBE4D5"/>
          </w:tcPr>
          <w:p w14:paraId="1C6C134D" w14:textId="77777777" w:rsidR="00955626" w:rsidRPr="00960097" w:rsidRDefault="00E657F5" w:rsidP="005C3761">
            <w:pPr>
              <w:rPr>
                <w:rFonts w:eastAsia="Cambria" w:cs="Arial"/>
                <w:sz w:val="18"/>
                <w:szCs w:val="18"/>
                <w:lang w:eastAsia="en-GB"/>
              </w:rPr>
            </w:pPr>
            <w:r w:rsidRPr="00960097">
              <w:rPr>
                <w:rFonts w:eastAsia="Cambria" w:cs="Arial"/>
                <w:sz w:val="18"/>
                <w:szCs w:val="18"/>
                <w:lang w:eastAsia="en-GB"/>
              </w:rPr>
              <w:t>Texture Depth Requirements</w:t>
            </w:r>
            <w:r w:rsidR="00EA3C79">
              <w:rPr>
                <w:rFonts w:eastAsia="Cambria" w:cs="Arial"/>
                <w:sz w:val="18"/>
                <w:szCs w:val="18"/>
                <w:vertAlign w:val="superscript"/>
                <w:lang w:eastAsia="en-GB"/>
              </w:rPr>
              <w:t>8</w:t>
            </w:r>
          </w:p>
        </w:tc>
        <w:tc>
          <w:tcPr>
            <w:tcW w:w="0" w:type="auto"/>
            <w:tcBorders>
              <w:top w:val="single" w:sz="12" w:space="0" w:color="auto"/>
              <w:bottom w:val="single" w:sz="12" w:space="0" w:color="auto"/>
              <w:right w:val="single" w:sz="12" w:space="0" w:color="auto"/>
            </w:tcBorders>
            <w:shd w:val="clear" w:color="auto" w:fill="FBE4D5"/>
            <w:vAlign w:val="center"/>
          </w:tcPr>
          <w:p w14:paraId="792D2AE4" w14:textId="77777777" w:rsidR="00955626" w:rsidRPr="00960097" w:rsidRDefault="00E657F5" w:rsidP="005C3761">
            <w:pPr>
              <w:rPr>
                <w:rFonts w:eastAsia="Cambria" w:cs="Arial"/>
                <w:sz w:val="18"/>
                <w:szCs w:val="18"/>
                <w:lang w:eastAsia="en-GB"/>
              </w:rPr>
            </w:pPr>
            <w:r w:rsidRPr="00960097">
              <w:rPr>
                <w:rFonts w:eastAsia="Cambria" w:cs="Arial"/>
                <w:sz w:val="18"/>
                <w:szCs w:val="18"/>
                <w:lang w:eastAsia="en-GB"/>
              </w:rPr>
              <w:t>SMA, High Stone Content HRA, Grouted Macadam</w:t>
            </w:r>
          </w:p>
        </w:tc>
        <w:tc>
          <w:tcPr>
            <w:tcW w:w="0" w:type="auto"/>
            <w:tcBorders>
              <w:top w:val="single" w:sz="12" w:space="0" w:color="auto"/>
              <w:left w:val="single" w:sz="12" w:space="0" w:color="auto"/>
              <w:bottom w:val="single" w:sz="12" w:space="0" w:color="auto"/>
            </w:tcBorders>
            <w:shd w:val="clear" w:color="auto" w:fill="FBE4D5"/>
            <w:vAlign w:val="center"/>
          </w:tcPr>
          <w:p w14:paraId="54D35654"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No requirement</w:t>
            </w:r>
          </w:p>
        </w:tc>
        <w:tc>
          <w:tcPr>
            <w:tcW w:w="0" w:type="auto"/>
            <w:gridSpan w:val="3"/>
            <w:tcBorders>
              <w:top w:val="single" w:sz="12" w:space="0" w:color="auto"/>
              <w:bottom w:val="single" w:sz="12" w:space="0" w:color="auto"/>
              <w:right w:val="single" w:sz="12" w:space="0" w:color="auto"/>
            </w:tcBorders>
            <w:shd w:val="clear" w:color="auto" w:fill="FBE4D5"/>
            <w:vAlign w:val="center"/>
          </w:tcPr>
          <w:p w14:paraId="4AA3A4C3"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0.8</w:t>
            </w:r>
            <w:r w:rsidR="00960097">
              <w:rPr>
                <w:rFonts w:eastAsia="Cambria" w:cs="Arial"/>
                <w:sz w:val="18"/>
                <w:szCs w:val="18"/>
                <w:lang w:eastAsia="en-GB"/>
              </w:rPr>
              <w:t xml:space="preserve">mm </w:t>
            </w:r>
            <w:r w:rsidRPr="00960097">
              <w:rPr>
                <w:rFonts w:eastAsia="Cambria" w:cs="Arial"/>
                <w:sz w:val="18"/>
                <w:szCs w:val="18"/>
                <w:lang w:eastAsia="en-GB"/>
              </w:rPr>
              <w:t>-</w:t>
            </w:r>
            <w:r w:rsidR="00960097">
              <w:rPr>
                <w:rFonts w:eastAsia="Cambria" w:cs="Arial"/>
                <w:sz w:val="18"/>
                <w:szCs w:val="18"/>
                <w:lang w:eastAsia="en-GB"/>
              </w:rPr>
              <w:t xml:space="preserve"> </w:t>
            </w:r>
            <w:r w:rsidRPr="00960097">
              <w:rPr>
                <w:rFonts w:eastAsia="Cambria" w:cs="Arial"/>
                <w:sz w:val="18"/>
                <w:szCs w:val="18"/>
                <w:lang w:eastAsia="en-GB"/>
              </w:rPr>
              <w:t>1.3</w:t>
            </w:r>
            <w:r w:rsidR="00960097">
              <w:rPr>
                <w:rFonts w:eastAsia="Cambria" w:cs="Arial"/>
                <w:sz w:val="18"/>
                <w:szCs w:val="18"/>
                <w:lang w:eastAsia="en-GB"/>
              </w:rPr>
              <w:t>mm</w:t>
            </w:r>
          </w:p>
        </w:tc>
      </w:tr>
      <w:tr w:rsidR="00B933CA" w14:paraId="39F1B6F2" w14:textId="77777777" w:rsidTr="002F2B15">
        <w:trPr>
          <w:trHeight w:val="8"/>
        </w:trPr>
        <w:tc>
          <w:tcPr>
            <w:tcW w:w="0" w:type="auto"/>
            <w:vMerge/>
            <w:tcBorders>
              <w:left w:val="single" w:sz="12" w:space="0" w:color="auto"/>
              <w:right w:val="single" w:sz="18" w:space="0" w:color="auto"/>
            </w:tcBorders>
            <w:shd w:val="clear" w:color="auto" w:fill="8EAADB"/>
          </w:tcPr>
          <w:p w14:paraId="01C1AF53" w14:textId="77777777" w:rsidR="00955626" w:rsidRPr="00960097" w:rsidRDefault="00955626" w:rsidP="005C3761">
            <w:pPr>
              <w:rPr>
                <w:rFonts w:eastAsia="Cambria" w:cs="Arial"/>
                <w:b/>
                <w:bCs/>
                <w:sz w:val="18"/>
                <w:szCs w:val="18"/>
                <w:lang w:eastAsia="en-GB"/>
              </w:rPr>
            </w:pPr>
          </w:p>
        </w:tc>
        <w:tc>
          <w:tcPr>
            <w:tcW w:w="0" w:type="auto"/>
            <w:vMerge/>
            <w:tcBorders>
              <w:left w:val="single" w:sz="18" w:space="0" w:color="auto"/>
              <w:bottom w:val="single" w:sz="18" w:space="0" w:color="auto"/>
            </w:tcBorders>
            <w:shd w:val="clear" w:color="auto" w:fill="FBE4D5"/>
          </w:tcPr>
          <w:p w14:paraId="7E6FA16C" w14:textId="77777777" w:rsidR="00955626" w:rsidRPr="00960097" w:rsidRDefault="00955626" w:rsidP="005C3761">
            <w:pPr>
              <w:rPr>
                <w:rFonts w:eastAsia="Cambria" w:cs="Arial"/>
                <w:sz w:val="18"/>
                <w:szCs w:val="18"/>
                <w:lang w:eastAsia="en-GB"/>
              </w:rPr>
            </w:pPr>
          </w:p>
        </w:tc>
        <w:tc>
          <w:tcPr>
            <w:tcW w:w="0" w:type="auto"/>
            <w:tcBorders>
              <w:top w:val="single" w:sz="12" w:space="0" w:color="auto"/>
              <w:bottom w:val="single" w:sz="18" w:space="0" w:color="auto"/>
              <w:right w:val="single" w:sz="12" w:space="0" w:color="auto"/>
            </w:tcBorders>
            <w:shd w:val="clear" w:color="auto" w:fill="FBE4D5"/>
            <w:vAlign w:val="center"/>
          </w:tcPr>
          <w:p w14:paraId="1B90ABC3" w14:textId="77777777" w:rsidR="00955626" w:rsidRPr="00960097" w:rsidRDefault="00E657F5" w:rsidP="005C3761">
            <w:pPr>
              <w:rPr>
                <w:rFonts w:eastAsia="Cambria" w:cs="Arial"/>
                <w:sz w:val="18"/>
                <w:szCs w:val="18"/>
                <w:lang w:eastAsia="en-GB"/>
              </w:rPr>
            </w:pPr>
            <w:r w:rsidRPr="00960097">
              <w:rPr>
                <w:rFonts w:eastAsia="Cambria" w:cs="Arial"/>
                <w:sz w:val="18"/>
                <w:szCs w:val="18"/>
                <w:lang w:eastAsia="en-GB"/>
              </w:rPr>
              <w:t>Chipped HRA</w:t>
            </w:r>
          </w:p>
        </w:tc>
        <w:tc>
          <w:tcPr>
            <w:tcW w:w="0" w:type="auto"/>
            <w:gridSpan w:val="4"/>
            <w:tcBorders>
              <w:top w:val="single" w:sz="12" w:space="0" w:color="auto"/>
              <w:left w:val="single" w:sz="12" w:space="0" w:color="auto"/>
              <w:bottom w:val="single" w:sz="18" w:space="0" w:color="auto"/>
              <w:right w:val="single" w:sz="12" w:space="0" w:color="auto"/>
            </w:tcBorders>
            <w:shd w:val="clear" w:color="auto" w:fill="FBE4D5"/>
            <w:vAlign w:val="center"/>
          </w:tcPr>
          <w:p w14:paraId="181A09AC"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1.0</w:t>
            </w:r>
            <w:r w:rsidR="00960097">
              <w:rPr>
                <w:rFonts w:eastAsia="Cambria" w:cs="Arial"/>
                <w:sz w:val="18"/>
                <w:szCs w:val="18"/>
                <w:lang w:eastAsia="en-GB"/>
              </w:rPr>
              <w:t xml:space="preserve">mm </w:t>
            </w:r>
            <w:r w:rsidRPr="00960097">
              <w:rPr>
                <w:rFonts w:eastAsia="Cambria" w:cs="Arial"/>
                <w:sz w:val="18"/>
                <w:szCs w:val="18"/>
                <w:lang w:eastAsia="en-GB"/>
              </w:rPr>
              <w:t>-</w:t>
            </w:r>
            <w:r w:rsidR="00960097">
              <w:rPr>
                <w:rFonts w:eastAsia="Cambria" w:cs="Arial"/>
                <w:sz w:val="18"/>
                <w:szCs w:val="18"/>
                <w:lang w:eastAsia="en-GB"/>
              </w:rPr>
              <w:t xml:space="preserve"> </w:t>
            </w:r>
            <w:r w:rsidRPr="00960097">
              <w:rPr>
                <w:rFonts w:eastAsia="Cambria" w:cs="Arial"/>
                <w:sz w:val="18"/>
                <w:szCs w:val="18"/>
                <w:lang w:eastAsia="en-GB"/>
              </w:rPr>
              <w:t>1.5</w:t>
            </w:r>
            <w:r w:rsidR="00960097">
              <w:rPr>
                <w:rFonts w:eastAsia="Cambria" w:cs="Arial"/>
                <w:sz w:val="18"/>
                <w:szCs w:val="18"/>
                <w:lang w:eastAsia="en-GB"/>
              </w:rPr>
              <w:t>mm</w:t>
            </w:r>
          </w:p>
        </w:tc>
      </w:tr>
      <w:tr w:rsidR="00B933CA" w14:paraId="08DF4FA2" w14:textId="77777777" w:rsidTr="002F2B15">
        <w:trPr>
          <w:trHeight w:val="8"/>
        </w:trPr>
        <w:tc>
          <w:tcPr>
            <w:tcW w:w="0" w:type="auto"/>
            <w:vMerge/>
            <w:tcBorders>
              <w:left w:val="single" w:sz="12" w:space="0" w:color="auto"/>
              <w:bottom w:val="single" w:sz="4" w:space="0" w:color="auto"/>
              <w:right w:val="single" w:sz="18" w:space="0" w:color="auto"/>
            </w:tcBorders>
            <w:shd w:val="clear" w:color="auto" w:fill="8EAADB"/>
          </w:tcPr>
          <w:p w14:paraId="090422E1" w14:textId="77777777" w:rsidR="00955626" w:rsidRPr="00960097" w:rsidRDefault="00955626" w:rsidP="005C3761">
            <w:pPr>
              <w:rPr>
                <w:rFonts w:eastAsia="Cambria" w:cs="Arial"/>
                <w:b/>
                <w:bCs/>
                <w:sz w:val="18"/>
                <w:szCs w:val="18"/>
                <w:lang w:eastAsia="en-GB"/>
              </w:rPr>
            </w:pPr>
          </w:p>
        </w:tc>
        <w:tc>
          <w:tcPr>
            <w:tcW w:w="0" w:type="auto"/>
            <w:gridSpan w:val="2"/>
            <w:tcBorders>
              <w:top w:val="single" w:sz="18" w:space="0" w:color="auto"/>
              <w:left w:val="single" w:sz="18" w:space="0" w:color="auto"/>
              <w:bottom w:val="single" w:sz="12" w:space="0" w:color="auto"/>
              <w:right w:val="single" w:sz="12" w:space="0" w:color="auto"/>
            </w:tcBorders>
            <w:shd w:val="clear" w:color="auto" w:fill="FBE4D5"/>
          </w:tcPr>
          <w:p w14:paraId="7EBAD7B8" w14:textId="77777777" w:rsidR="00AE05CD" w:rsidRPr="00960097" w:rsidRDefault="00E657F5" w:rsidP="00311C9B">
            <w:pPr>
              <w:rPr>
                <w:rFonts w:eastAsia="Cambria" w:cs="Arial"/>
                <w:sz w:val="18"/>
                <w:szCs w:val="18"/>
                <w:lang w:eastAsia="en-GB"/>
              </w:rPr>
            </w:pPr>
            <w:r w:rsidRPr="00960097">
              <w:rPr>
                <w:rFonts w:eastAsia="Cambria" w:cs="Arial"/>
                <w:sz w:val="18"/>
                <w:szCs w:val="18"/>
                <w:lang w:eastAsia="en-GB"/>
              </w:rPr>
              <w:t xml:space="preserve">Concrete block </w:t>
            </w:r>
            <w:r w:rsidR="00311C9B">
              <w:rPr>
                <w:rFonts w:eastAsia="Cambria" w:cs="Arial"/>
                <w:sz w:val="18"/>
                <w:szCs w:val="18"/>
                <w:lang w:eastAsia="en-GB"/>
              </w:rPr>
              <w:t xml:space="preserve">surfacing </w:t>
            </w:r>
            <w:r w:rsidRPr="00AB7178">
              <w:rPr>
                <w:rFonts w:eastAsia="Cambria" w:cs="Arial"/>
                <w:sz w:val="18"/>
                <w:szCs w:val="18"/>
                <w:lang w:eastAsia="en-GB"/>
              </w:rPr>
              <w:t>(</w:t>
            </w:r>
            <w:r w:rsidR="004F1020" w:rsidRPr="00AB7178">
              <w:rPr>
                <w:rFonts w:eastAsia="Cambria" w:cs="Arial"/>
                <w:sz w:val="18"/>
                <w:szCs w:val="18"/>
                <w:lang w:eastAsia="en-GB"/>
              </w:rPr>
              <w:t>To</w:t>
            </w:r>
            <w:r w:rsidR="00AB7178">
              <w:rPr>
                <w:rFonts w:eastAsia="Cambria" w:cs="Arial"/>
                <w:sz w:val="18"/>
                <w:szCs w:val="18"/>
                <w:lang w:eastAsia="en-GB"/>
              </w:rPr>
              <w:t xml:space="preserve"> be specified in accordance with </w:t>
            </w:r>
            <w:hyperlink r:id="rId19" w:history="1">
              <w:r w:rsidR="00AB7178" w:rsidRPr="0032763D">
                <w:rPr>
                  <w:rStyle w:val="Hyperlink"/>
                  <w:rFonts w:eastAsia="Cambria"/>
                  <w:sz w:val="18"/>
                  <w:szCs w:val="18"/>
                  <w:lang w:eastAsia="en-GB"/>
                </w:rPr>
                <w:t>LCC Palette of Materials</w:t>
              </w:r>
            </w:hyperlink>
            <w:r w:rsidR="00AB7178">
              <w:rPr>
                <w:rFonts w:eastAsia="Cambria" w:cs="Arial"/>
                <w:sz w:val="18"/>
                <w:szCs w:val="18"/>
                <w:lang w:eastAsia="en-GB"/>
              </w:rPr>
              <w:t>)</w:t>
            </w:r>
          </w:p>
        </w:tc>
        <w:tc>
          <w:tcPr>
            <w:tcW w:w="0" w:type="auto"/>
            <w:tcBorders>
              <w:top w:val="single" w:sz="18" w:space="0" w:color="auto"/>
              <w:left w:val="single" w:sz="12" w:space="0" w:color="auto"/>
              <w:bottom w:val="single" w:sz="12" w:space="0" w:color="auto"/>
              <w:right w:val="single" w:sz="12" w:space="0" w:color="auto"/>
            </w:tcBorders>
            <w:shd w:val="clear" w:color="auto" w:fill="FBE4D5"/>
            <w:vAlign w:val="center"/>
          </w:tcPr>
          <w:p w14:paraId="60F2A0B5" w14:textId="77777777" w:rsidR="00955626" w:rsidRPr="00960097" w:rsidRDefault="00E657F5" w:rsidP="005C3761">
            <w:pPr>
              <w:jc w:val="center"/>
              <w:rPr>
                <w:rFonts w:eastAsia="Cambria" w:cs="Arial"/>
                <w:sz w:val="18"/>
                <w:szCs w:val="18"/>
                <w:lang w:eastAsia="en-GB"/>
              </w:rPr>
            </w:pPr>
            <w:r w:rsidRPr="00960097">
              <w:rPr>
                <w:rFonts w:eastAsia="Cambria" w:cs="Arial"/>
                <w:sz w:val="18"/>
                <w:szCs w:val="18"/>
                <w:lang w:eastAsia="en-GB"/>
              </w:rPr>
              <w:t>80mm block on 30mm bedding sand layer</w:t>
            </w:r>
            <w:r w:rsidR="00673658">
              <w:rPr>
                <w:rFonts w:eastAsia="Cambria" w:cs="Arial"/>
                <w:sz w:val="18"/>
                <w:szCs w:val="18"/>
                <w:lang w:eastAsia="en-GB"/>
              </w:rPr>
              <w:t xml:space="preserve"> (</w:t>
            </w:r>
            <w:r w:rsidR="00673658" w:rsidRPr="00673658">
              <w:rPr>
                <w:rFonts w:eastAsia="Cambria" w:cs="Arial"/>
                <w:sz w:val="18"/>
                <w:szCs w:val="18"/>
                <w:lang w:eastAsia="en-GB"/>
              </w:rPr>
              <w:t xml:space="preserve">BS 7533: Part </w:t>
            </w:r>
            <w:r w:rsidR="00673658">
              <w:rPr>
                <w:rFonts w:eastAsia="Cambria" w:cs="Arial"/>
                <w:sz w:val="18"/>
                <w:szCs w:val="18"/>
                <w:lang w:eastAsia="en-GB"/>
              </w:rPr>
              <w:t>101 - Category II)</w:t>
            </w:r>
          </w:p>
        </w:tc>
        <w:tc>
          <w:tcPr>
            <w:tcW w:w="0" w:type="auto"/>
            <w:gridSpan w:val="3"/>
            <w:tcBorders>
              <w:top w:val="single" w:sz="18" w:space="0" w:color="auto"/>
              <w:left w:val="single" w:sz="12" w:space="0" w:color="auto"/>
              <w:bottom w:val="single" w:sz="12" w:space="0" w:color="auto"/>
              <w:right w:val="single" w:sz="12" w:space="0" w:color="auto"/>
            </w:tcBorders>
            <w:shd w:val="clear" w:color="auto" w:fill="FBE4D5"/>
            <w:vAlign w:val="center"/>
          </w:tcPr>
          <w:p w14:paraId="570C2B20" w14:textId="77777777" w:rsidR="00955626" w:rsidRPr="00960097" w:rsidRDefault="00E657F5" w:rsidP="005C3761">
            <w:pPr>
              <w:jc w:val="center"/>
              <w:rPr>
                <w:rFonts w:eastAsia="Cambria" w:cs="Arial"/>
                <w:sz w:val="18"/>
                <w:szCs w:val="18"/>
                <w:lang w:eastAsia="en-GB"/>
              </w:rPr>
            </w:pPr>
            <w:r>
              <w:rPr>
                <w:rFonts w:eastAsia="Cambria" w:cs="Arial"/>
                <w:sz w:val="18"/>
                <w:szCs w:val="18"/>
                <w:lang w:eastAsia="en-GB"/>
              </w:rPr>
              <w:t>-</w:t>
            </w:r>
          </w:p>
        </w:tc>
      </w:tr>
    </w:tbl>
    <w:p w14:paraId="79FEA7A1" w14:textId="77777777" w:rsidR="00737389" w:rsidRDefault="00E657F5" w:rsidP="00737389">
      <w:pPr>
        <w:pStyle w:val="Caption"/>
        <w:jc w:val="center"/>
        <w:rPr>
          <w:vertAlign w:val="superscript"/>
        </w:rPr>
      </w:pPr>
      <w:bookmarkStart w:id="63" w:name="_Toc119569297"/>
      <w:bookmarkStart w:id="64" w:name="_Toc120010317"/>
      <w:r>
        <w:t xml:space="preserve">Table </w:t>
      </w:r>
      <w:fldSimple w:instr=" SEQ Table \* ARABIC ">
        <w:r>
          <w:rPr>
            <w:noProof/>
          </w:rPr>
          <w:t>10</w:t>
        </w:r>
      </w:fldSimple>
      <w:r>
        <w:t xml:space="preserve"> - </w:t>
      </w:r>
      <w:r w:rsidRPr="002B7CF1">
        <w:t>Pavement construction thicknesses – asphalt and block paver surface</w:t>
      </w:r>
      <w:bookmarkEnd w:id="63"/>
      <w:bookmarkEnd w:id="64"/>
    </w:p>
    <w:p w14:paraId="3971CB04" w14:textId="77777777" w:rsidR="007A6DAA" w:rsidRPr="000A6507" w:rsidRDefault="00E657F5" w:rsidP="00955626">
      <w:pPr>
        <w:pStyle w:val="BodyText"/>
      </w:pPr>
      <w:r>
        <w:rPr>
          <w:vertAlign w:val="superscript"/>
        </w:rPr>
        <w:t>1</w:t>
      </w:r>
      <w:r w:rsidR="007602B9">
        <w:t>The determination of future t</w:t>
      </w:r>
      <w:r w:rsidR="000A6507">
        <w:t>raffic volume figures must be provided and agreed, to ensure the 40</w:t>
      </w:r>
      <w:r w:rsidR="00CA010F">
        <w:t>-</w:t>
      </w:r>
      <w:r w:rsidR="000A6507">
        <w:t>year design traffic</w:t>
      </w:r>
      <w:r w:rsidR="007602B9">
        <w:t>, calculated in accordance with CD224.</w:t>
      </w:r>
      <w:r w:rsidR="000A6507">
        <w:t xml:space="preserve"> </w:t>
      </w:r>
    </w:p>
    <w:p w14:paraId="5D863849" w14:textId="77777777" w:rsidR="00F73901" w:rsidRPr="00F47415" w:rsidRDefault="00E657F5" w:rsidP="00955626">
      <w:pPr>
        <w:pStyle w:val="BodyText"/>
      </w:pPr>
      <w:r>
        <w:rPr>
          <w:vertAlign w:val="superscript"/>
        </w:rPr>
        <w:t>2</w:t>
      </w:r>
      <w:r>
        <w:t xml:space="preserve">CBGM Mixtures </w:t>
      </w:r>
      <w:r w:rsidR="00F47415">
        <w:t>C</w:t>
      </w:r>
      <w:r w:rsidR="00F47415" w:rsidRPr="00F47415">
        <w:rPr>
          <w:vertAlign w:val="subscript"/>
        </w:rPr>
        <w:t>5/6</w:t>
      </w:r>
      <w:r w:rsidR="00F47415">
        <w:t xml:space="preserve"> and above </w:t>
      </w:r>
      <w:r>
        <w:t xml:space="preserve">shall conform to </w:t>
      </w:r>
      <w:r w:rsidR="00ED1AEF">
        <w:t xml:space="preserve">MCHW </w:t>
      </w:r>
      <w:r w:rsidR="007330BE">
        <w:t>C</w:t>
      </w:r>
      <w:r w:rsidR="00ED1AEF">
        <w:t>lause 822 – CBGM 1</w:t>
      </w:r>
      <w:r w:rsidR="00C61B99">
        <w:t xml:space="preserve"> and </w:t>
      </w:r>
      <w:r>
        <w:t>BS</w:t>
      </w:r>
      <w:r w:rsidR="00E254DE">
        <w:t xml:space="preserve"> </w:t>
      </w:r>
      <w:r>
        <w:t>14227-1 figure 3</w:t>
      </w:r>
      <w:r w:rsidR="00CE56AE">
        <w:t>/table 9</w:t>
      </w:r>
      <w:r>
        <w:t>, grading envelopes for cement bound granular mixture 1 – 0/14 (maximum category G</w:t>
      </w:r>
      <w:r w:rsidR="00B356EE">
        <w:t>1</w:t>
      </w:r>
      <w:r>
        <w:t>), and where app</w:t>
      </w:r>
      <w:r w:rsidR="00915B1B">
        <w:t>licable</w:t>
      </w:r>
      <w:r>
        <w:t xml:space="preserve"> for CRBM mixtures, Zone A of table A1.1 of TRL611. </w:t>
      </w:r>
      <w:r w:rsidR="00F47415">
        <w:t>CBGM C</w:t>
      </w:r>
      <w:r w:rsidR="00F47415" w:rsidRPr="00F47415">
        <w:rPr>
          <w:vertAlign w:val="subscript"/>
        </w:rPr>
        <w:t>3/4</w:t>
      </w:r>
      <w:r w:rsidR="00F47415">
        <w:rPr>
          <w:vertAlign w:val="subscript"/>
        </w:rPr>
        <w:t xml:space="preserve"> </w:t>
      </w:r>
      <w:r w:rsidR="00F47415">
        <w:t>shall comply with</w:t>
      </w:r>
      <w:r w:rsidR="00C61B99">
        <w:t xml:space="preserve"> MCHW </w:t>
      </w:r>
      <w:r w:rsidR="007330BE">
        <w:t>C</w:t>
      </w:r>
      <w:r w:rsidR="00C61B99">
        <w:t>lause 821 – CBGM 5 and</w:t>
      </w:r>
      <w:r w:rsidR="00F47415">
        <w:t xml:space="preserve"> </w:t>
      </w:r>
      <w:r w:rsidR="00CE56AE">
        <w:t>BS</w:t>
      </w:r>
      <w:r w:rsidR="00E254DE">
        <w:t xml:space="preserve"> </w:t>
      </w:r>
      <w:r w:rsidR="00CE56AE">
        <w:t xml:space="preserve">14227-1 </w:t>
      </w:r>
      <w:r w:rsidR="000C4AE5">
        <w:t>table 3</w:t>
      </w:r>
      <w:r w:rsidR="00FF2D7E">
        <w:t xml:space="preserve">, or </w:t>
      </w:r>
      <w:r w:rsidR="00D3010D">
        <w:t>Zone A of table A1.1 of TRL611</w:t>
      </w:r>
      <w:r w:rsidR="00D634EB">
        <w:t>.</w:t>
      </w:r>
    </w:p>
    <w:p w14:paraId="012A2E93" w14:textId="77777777" w:rsidR="000A6507" w:rsidRPr="000A6507" w:rsidRDefault="00E657F5" w:rsidP="00955626">
      <w:pPr>
        <w:pStyle w:val="BodyText"/>
      </w:pPr>
      <w:r w:rsidRPr="00F73901">
        <w:rPr>
          <w:vertAlign w:val="superscript"/>
        </w:rPr>
        <w:t>3</w:t>
      </w:r>
      <w:r w:rsidRPr="00955626">
        <w:t xml:space="preserve">Over </w:t>
      </w:r>
      <w:r w:rsidR="0032763D">
        <w:t xml:space="preserve">CBGM and </w:t>
      </w:r>
      <w:r w:rsidR="00DF4D28">
        <w:t>HBM</w:t>
      </w:r>
      <w:r w:rsidRPr="00955626">
        <w:t xml:space="preserve"> the binder course should be laid as soon as possible to provide a weather-proof seal.</w:t>
      </w:r>
    </w:p>
    <w:p w14:paraId="4A498003" w14:textId="77777777" w:rsidR="00EB0CC2" w:rsidRPr="00EB0CC2" w:rsidRDefault="00E657F5" w:rsidP="00955626">
      <w:pPr>
        <w:pStyle w:val="BodyText"/>
      </w:pPr>
      <w:r>
        <w:rPr>
          <w:vertAlign w:val="superscript"/>
        </w:rPr>
        <w:t>4</w:t>
      </w:r>
      <w:r>
        <w:t>H</w:t>
      </w:r>
      <w:r w:rsidRPr="00955626">
        <w:t>ot mix</w:t>
      </w:r>
      <w:r>
        <w:t xml:space="preserve"> bitumen bound</w:t>
      </w:r>
      <w:r w:rsidRPr="00955626">
        <w:t xml:space="preserve"> base shall only be used in exceptional circumstances and requires approval. This is to ensure development contributes to the council's sustainability aims. </w:t>
      </w:r>
    </w:p>
    <w:p w14:paraId="00C0DF4B" w14:textId="77777777" w:rsidR="000A6507" w:rsidRPr="00955626" w:rsidRDefault="00E657F5" w:rsidP="00955626">
      <w:pPr>
        <w:pStyle w:val="BodyText"/>
      </w:pPr>
      <w:r>
        <w:rPr>
          <w:vertAlign w:val="superscript"/>
        </w:rPr>
        <w:t>5</w:t>
      </w:r>
      <w:r w:rsidRPr="00955626">
        <w:t>Due to the anticipated construction process of estate roads, i.e</w:t>
      </w:r>
      <w:r>
        <w:t xml:space="preserve">., </w:t>
      </w:r>
      <w:r w:rsidRPr="00955626">
        <w:t xml:space="preserve">an extended period of running on binder course prior to final surface course installation, CRBM </w:t>
      </w:r>
      <w:r w:rsidR="00B811FB">
        <w:t>binder course</w:t>
      </w:r>
      <w:r w:rsidRPr="00955626">
        <w:t xml:space="preserve"> </w:t>
      </w:r>
      <w:r w:rsidR="00B811FB">
        <w:t>shall only be used when</w:t>
      </w:r>
      <w:r w:rsidRPr="00955626">
        <w:t xml:space="preserve"> the final surfacing is to be applied immediately after the construction of the binder course. As such in most practical instances it is considered that a hot mix binder course will be required, although the preference from a sustainability point of view would be for recycled, cold mix materials to be used.</w:t>
      </w:r>
      <w:r w:rsidR="00D23C6F">
        <w:t xml:space="preserve"> The absolute maximum duration </w:t>
      </w:r>
      <w:r w:rsidR="001F4B74">
        <w:t>CRBM shall be left before overlaying is 10 days.</w:t>
      </w:r>
    </w:p>
    <w:p w14:paraId="0242E3EB" w14:textId="77777777" w:rsidR="00EA3C79" w:rsidRPr="00EA3C79" w:rsidRDefault="00E657F5" w:rsidP="00955626">
      <w:pPr>
        <w:pStyle w:val="BodyText"/>
      </w:pPr>
      <w:r>
        <w:rPr>
          <w:vertAlign w:val="superscript"/>
        </w:rPr>
        <w:t>6</w:t>
      </w:r>
      <w:r>
        <w:t xml:space="preserve">An alternative polymer modified binder grade may be used subject to agreement </w:t>
      </w:r>
      <w:r w:rsidR="00E06BF5">
        <w:t xml:space="preserve">by the </w:t>
      </w:r>
      <w:r w:rsidR="001F5811">
        <w:t>Engineer</w:t>
      </w:r>
      <w:r w:rsidR="00E06BF5">
        <w:t>. In addition</w:t>
      </w:r>
      <w:r w:rsidR="00C36FC9">
        <w:t>,</w:t>
      </w:r>
      <w:r w:rsidR="00E06BF5">
        <w:t xml:space="preserve"> the </w:t>
      </w:r>
      <w:r w:rsidR="00041A2E">
        <w:t>Engineer</w:t>
      </w:r>
      <w:r w:rsidR="00E06BF5">
        <w:t xml:space="preserve">, may in certain circumstances such as heavy, repeated slow loadings specify an alternative binder. </w:t>
      </w:r>
    </w:p>
    <w:p w14:paraId="5B2E4D2B" w14:textId="77777777" w:rsidR="00955626" w:rsidRPr="00955626" w:rsidRDefault="00E657F5" w:rsidP="00955626">
      <w:pPr>
        <w:pStyle w:val="BodyText"/>
      </w:pPr>
      <w:r>
        <w:rPr>
          <w:vertAlign w:val="superscript"/>
        </w:rPr>
        <w:t>7</w:t>
      </w:r>
      <w:r w:rsidRPr="00955626">
        <w:t xml:space="preserve">The use of cementitious grouted macadam may be requested at the discretion of the </w:t>
      </w:r>
      <w:r w:rsidR="00041A2E">
        <w:t>E</w:t>
      </w:r>
      <w:r w:rsidR="00041A2E" w:rsidRPr="00955626">
        <w:t xml:space="preserve">ngineer </w:t>
      </w:r>
      <w:r w:rsidRPr="00955626">
        <w:t>in highly stressed areas such as roundabouts and turning areas within industrial areas</w:t>
      </w:r>
      <w:r w:rsidR="000F18A8">
        <w:t xml:space="preserve"> and bus stops/laybys/lanes.</w:t>
      </w:r>
    </w:p>
    <w:p w14:paraId="1A5342B3" w14:textId="77777777" w:rsidR="00955626" w:rsidRDefault="00E657F5" w:rsidP="00955626">
      <w:pPr>
        <w:pStyle w:val="BodyText"/>
      </w:pPr>
      <w:r>
        <w:rPr>
          <w:vertAlign w:val="superscript"/>
        </w:rPr>
        <w:t>8</w:t>
      </w:r>
      <w:r w:rsidRPr="00955626">
        <w:t xml:space="preserve">Texture depth requirements shown are based on traffic speeds of </w:t>
      </w:r>
      <w:r w:rsidR="00D03DF5">
        <w:t>4</w:t>
      </w:r>
      <w:r w:rsidRPr="00955626">
        <w:t>0mph</w:t>
      </w:r>
      <w:r w:rsidR="000A6507">
        <w:t xml:space="preserve"> and below</w:t>
      </w:r>
      <w:r w:rsidRPr="00955626">
        <w:t xml:space="preserve"> and for </w:t>
      </w:r>
      <w:r w:rsidR="00D03DF5">
        <w:t>2</w:t>
      </w:r>
      <w:r w:rsidRPr="00955626">
        <w:t>0mph</w:t>
      </w:r>
      <w:r w:rsidR="000A6507">
        <w:t xml:space="preserve"> and below</w:t>
      </w:r>
      <w:r w:rsidRPr="00955626">
        <w:t xml:space="preserve"> for </w:t>
      </w:r>
      <w:r w:rsidR="00041A2E">
        <w:t>a</w:t>
      </w:r>
      <w:r w:rsidR="00041A2E" w:rsidRPr="00955626">
        <w:t xml:space="preserve">ccess </w:t>
      </w:r>
      <w:r w:rsidRPr="00955626">
        <w:t>ways, mews courts, access collectors.</w:t>
      </w:r>
    </w:p>
    <w:p w14:paraId="0732909E" w14:textId="77777777" w:rsidR="00D634EB" w:rsidRDefault="00E657F5" w:rsidP="00955626">
      <w:pPr>
        <w:pStyle w:val="BodyText"/>
      </w:pPr>
      <w:r>
        <w:t>General note</w:t>
      </w:r>
      <w:r w:rsidR="00BE49D4">
        <w:t>s on HBM and CBGM</w:t>
      </w:r>
      <w:r>
        <w:t xml:space="preserve">: </w:t>
      </w:r>
    </w:p>
    <w:p w14:paraId="39E2AABB" w14:textId="77777777" w:rsidR="009167C5" w:rsidRDefault="00E657F5" w:rsidP="00955626">
      <w:pPr>
        <w:pStyle w:val="BodyText"/>
      </w:pPr>
      <w:r w:rsidRPr="009167C5">
        <w:t xml:space="preserve">The HBM and strength classes shown are compatible </w:t>
      </w:r>
      <w:r w:rsidR="006F7424">
        <w:t xml:space="preserve">with </w:t>
      </w:r>
      <w:r w:rsidRPr="009167C5">
        <w:t>BS EN 14227–1</w:t>
      </w:r>
      <w:r w:rsidR="005B2C04">
        <w:t>, for cement bound granular mixtures</w:t>
      </w:r>
      <w:r w:rsidRPr="009167C5">
        <w:t xml:space="preserve">, other hydraulically bound mixtures (BS EN 14227–2, 3 &amp; 5) and series 800 of the </w:t>
      </w:r>
      <w:r w:rsidR="00027CE0">
        <w:t>MC</w:t>
      </w:r>
      <w:r w:rsidRPr="009167C5">
        <w:t>HW. The first number of each class relates to the compressive strength of cylindrical specimens with a slenderness ratio of 2 and the second number to a slenderness ratio of 1 or cube</w:t>
      </w:r>
      <w:r w:rsidR="00C95DD6">
        <w:t>s.</w:t>
      </w:r>
    </w:p>
    <w:p w14:paraId="47BC9DA7" w14:textId="77777777" w:rsidR="00367A2C" w:rsidRDefault="00E657F5" w:rsidP="00F77950">
      <w:pPr>
        <w:pStyle w:val="Heading3"/>
      </w:pPr>
      <w:r>
        <w:t>Polished Stone (PSV) and Aggregate Abrasion Values (AAV) of asphalt surface course</w:t>
      </w:r>
      <w:r>
        <w:tab/>
      </w:r>
    </w:p>
    <w:p w14:paraId="29F8E1B7" w14:textId="77777777" w:rsidR="00F937D9" w:rsidRDefault="00E657F5" w:rsidP="00367A2C">
      <w:pPr>
        <w:pStyle w:val="BodyText"/>
      </w:pPr>
      <w:r>
        <w:t xml:space="preserve">The requirements for excessively high levels of skid resistance to be provided by the surface to aid road safety should be mitigated by fundamental safe and sustainable design that minimises speed and the introduction of high-risk areas. </w:t>
      </w:r>
      <w:r w:rsidR="0057528E">
        <w:t xml:space="preserve">Eliminating the  </w:t>
      </w:r>
      <w:r>
        <w:t xml:space="preserve">the </w:t>
      </w:r>
      <w:r w:rsidR="0057528E">
        <w:t xml:space="preserve">need </w:t>
      </w:r>
      <w:r>
        <w:t>for high levels of skid resistance minimises the use of finite high PSV, low AAV aggregates.</w:t>
      </w:r>
    </w:p>
    <w:p w14:paraId="4BF7FF59" w14:textId="77777777" w:rsidR="00F77950" w:rsidRDefault="00E657F5" w:rsidP="00955626">
      <w:pPr>
        <w:pStyle w:val="BodyText"/>
      </w:pPr>
      <w:r>
        <w:t>Due to every</w:t>
      </w:r>
      <w:r w:rsidR="00367A2C">
        <w:t xml:space="preserve"> road ha</w:t>
      </w:r>
      <w:r>
        <w:t>ving</w:t>
      </w:r>
      <w:r w:rsidR="00367A2C">
        <w:t xml:space="preserve"> different characteristics it is not possible to provide general requirements for PSV and AAV values.</w:t>
      </w:r>
      <w:r>
        <w:t xml:space="preserve"> The designer shall </w:t>
      </w:r>
      <w:r w:rsidR="00367A2C">
        <w:t>therefore specify a</w:t>
      </w:r>
      <w:r>
        <w:t>ppropriate PSV and AAV values in accordance with</w:t>
      </w:r>
      <w:r w:rsidR="00367A2C">
        <w:t xml:space="preserve"> DMRB CD236 and</w:t>
      </w:r>
      <w:r>
        <w:t xml:space="preserve"> </w:t>
      </w:r>
      <w:hyperlink r:id="rId20" w:history="1">
        <w:r w:rsidRPr="00367A2C">
          <w:rPr>
            <w:rStyle w:val="Hyperlink"/>
            <w:rFonts w:cs="Helvetica-Light"/>
          </w:rPr>
          <w:t>LCC Skid Resistance Code of Practice</w:t>
        </w:r>
      </w:hyperlink>
      <w:r>
        <w:t>, for the level of perceived risk of the road geometry, characteristics and commercial vehicle flow</w:t>
      </w:r>
      <w:r w:rsidR="00367A2C">
        <w:t>.</w:t>
      </w:r>
    </w:p>
    <w:p w14:paraId="040BD952" w14:textId="77777777" w:rsidR="00367A2C" w:rsidRDefault="00E657F5" w:rsidP="00955626">
      <w:pPr>
        <w:pStyle w:val="BodyText"/>
      </w:pPr>
      <w:r>
        <w:t>In line</w:t>
      </w:r>
      <w:r w:rsidR="00014C12">
        <w:t xml:space="preserve"> with the principles outlined above the use of high friction surfacing will not be looked upon favourable; not only because of the high cost of ongoing maintenance to LCC</w:t>
      </w:r>
      <w:r w:rsidR="00E968CE">
        <w:t xml:space="preserve"> and sustainability issues </w:t>
      </w:r>
      <w:r w:rsidR="00F937D9">
        <w:t xml:space="preserve">around the constituent </w:t>
      </w:r>
      <w:r w:rsidR="007950A8">
        <w:t>materials</w:t>
      </w:r>
      <w:r w:rsidR="00F937D9">
        <w:t xml:space="preserve"> of high friction surfacing systems,</w:t>
      </w:r>
      <w:r w:rsidR="00014C12">
        <w:t xml:space="preserve"> but because its presence in most situations indicates a failure in fundamental safe and sustainable design.</w:t>
      </w:r>
    </w:p>
    <w:p w14:paraId="559CC60D" w14:textId="77777777" w:rsidR="00311C9B" w:rsidRDefault="00E657F5" w:rsidP="00311C9B">
      <w:pPr>
        <w:pStyle w:val="Heading3"/>
      </w:pPr>
      <w:r>
        <w:t>Polished Paver Value (PPV) of Concrete Blocks</w:t>
      </w:r>
    </w:p>
    <w:p w14:paraId="7A66C174" w14:textId="77777777" w:rsidR="00311C9B" w:rsidRDefault="00E657F5" w:rsidP="00955626">
      <w:pPr>
        <w:pStyle w:val="BodyText"/>
      </w:pPr>
      <w:r>
        <w:t xml:space="preserve">PPV values are numerically equivalent to PSV and as such the values should be specified in line with </w:t>
      </w:r>
      <w:r w:rsidR="007330BE">
        <w:t>C</w:t>
      </w:r>
      <w:r>
        <w:t>lause 5.5.2</w:t>
      </w:r>
      <w:r w:rsidR="00673658">
        <w:t>, with a minimum of 50.</w:t>
      </w:r>
    </w:p>
    <w:p w14:paraId="53186C16" w14:textId="77777777" w:rsidR="00311C9B" w:rsidRDefault="00E657F5" w:rsidP="00955626">
      <w:pPr>
        <w:pStyle w:val="BodyText"/>
      </w:pPr>
      <w:r>
        <w:t>The Engineer will require proof of PPV test results</w:t>
      </w:r>
      <w:r w:rsidR="00673658">
        <w:t xml:space="preserve">, undertaken in accordance with BS 7932 </w:t>
      </w:r>
      <w:r>
        <w:t xml:space="preserve">for the exact product to be used, including identical constitute raw materials, equivalents will not be accepted. </w:t>
      </w:r>
    </w:p>
    <w:p w14:paraId="6AF76606" w14:textId="77777777" w:rsidR="00EB0CC2" w:rsidRDefault="00E657F5" w:rsidP="00EB0CC2">
      <w:pPr>
        <w:pStyle w:val="Heading2"/>
      </w:pPr>
      <w:r>
        <w:t>Placing, Compaction and Testing of Pavement Mixtures</w:t>
      </w:r>
    </w:p>
    <w:p w14:paraId="3011F2CF" w14:textId="77777777" w:rsidR="00EB0CC2" w:rsidRPr="00EB0CC2" w:rsidRDefault="00E657F5" w:rsidP="00EB0CC2">
      <w:pPr>
        <w:pStyle w:val="Heading3"/>
      </w:pPr>
      <w:r>
        <w:t>General</w:t>
      </w:r>
    </w:p>
    <w:p w14:paraId="3B9CC824" w14:textId="77777777" w:rsidR="00EB0CC2" w:rsidRDefault="00E657F5" w:rsidP="00A91DCE">
      <w:pPr>
        <w:pStyle w:val="BodyText"/>
      </w:pPr>
      <w:r>
        <w:t xml:space="preserve">This Clause gives general requirements for the placing and compaction of </w:t>
      </w:r>
      <w:r w:rsidR="00A91DCE">
        <w:t>pavement</w:t>
      </w:r>
      <w:r>
        <w:t xml:space="preserve"> mixtures, which are complementary and additional to the requirements of BS 594987</w:t>
      </w:r>
      <w:r w:rsidR="00A91DCE">
        <w:t xml:space="preserve"> (for bituminous mixtures)</w:t>
      </w:r>
      <w:r>
        <w:t>. These requirements and the requirements of BS 594987 apply to all bituminous mixtures,</w:t>
      </w:r>
    </w:p>
    <w:p w14:paraId="08B6D7DC" w14:textId="77777777" w:rsidR="00EB0CC2" w:rsidRDefault="00E657F5" w:rsidP="00A91DCE">
      <w:pPr>
        <w:pStyle w:val="BodyText"/>
      </w:pPr>
      <w:r>
        <w:t>All pavement mixtures shall be laid by organisations registered to and operating in compliance with BS EN ISO 9001 ‘National Highways Sector Scheme 16 for the Laying of Asphalt Mixes’</w:t>
      </w:r>
    </w:p>
    <w:p w14:paraId="6983D109" w14:textId="77777777" w:rsidR="00EB0CC2" w:rsidRDefault="00E657F5" w:rsidP="00A91DCE">
      <w:pPr>
        <w:pStyle w:val="BodyText"/>
      </w:pPr>
      <w:r>
        <w:t xml:space="preserve">There shall be full interlayer bonding between </w:t>
      </w:r>
      <w:r w:rsidR="00A91DCE">
        <w:t>pavement</w:t>
      </w:r>
      <w:r>
        <w:t xml:space="preserve"> layers. This may be achieved by keeping the surface of the layers clean and uncontaminated, and by excluding moisture. </w:t>
      </w:r>
    </w:p>
    <w:p w14:paraId="00F7365E" w14:textId="77777777" w:rsidR="00EB0CC2" w:rsidRDefault="00E657F5" w:rsidP="00A91DCE">
      <w:pPr>
        <w:pStyle w:val="BodyText"/>
      </w:pPr>
      <w:r>
        <w:t xml:space="preserve">The underlying receiving surfaces shall be made good by cleaning and, if this proves impracticable, by rectification in compliance with </w:t>
      </w:r>
      <w:r w:rsidR="008C6C99">
        <w:t xml:space="preserve">MCHW </w:t>
      </w:r>
      <w:r>
        <w:t xml:space="preserve">Clause 702. </w:t>
      </w:r>
    </w:p>
    <w:p w14:paraId="26ED5D70" w14:textId="77777777" w:rsidR="00EB0CC2" w:rsidRDefault="00E657F5" w:rsidP="00A91DCE">
      <w:pPr>
        <w:pStyle w:val="BodyText"/>
      </w:pPr>
      <w:r>
        <w:t xml:space="preserve">Prior to placing bituminous material on any new or existing bound substrate, a bond coat shall be applied in accordance with </w:t>
      </w:r>
      <w:r w:rsidR="008C6C99">
        <w:t xml:space="preserve">MCHW </w:t>
      </w:r>
      <w:r>
        <w:t>Clauses 920.</w:t>
      </w:r>
    </w:p>
    <w:p w14:paraId="7B264862" w14:textId="77777777" w:rsidR="00EB0CC2" w:rsidRPr="00A91DCE" w:rsidRDefault="00E657F5" w:rsidP="00A91DCE">
      <w:pPr>
        <w:pStyle w:val="Heading3"/>
      </w:pPr>
      <w:r w:rsidRPr="00A91DCE">
        <w:t>Transporting</w:t>
      </w:r>
    </w:p>
    <w:p w14:paraId="06B3D3E0" w14:textId="77777777" w:rsidR="00EB0CC2" w:rsidRDefault="00E657F5" w:rsidP="00EB0CC2">
      <w:r>
        <w:t>Bituminous mixtures shall be transported in accordance with the requirements of BS 594987 and shall remain covered whilst awaiting tipping.</w:t>
      </w:r>
    </w:p>
    <w:p w14:paraId="3BD3E269" w14:textId="77777777" w:rsidR="00EB0CC2" w:rsidRPr="00A91DCE" w:rsidRDefault="00E657F5" w:rsidP="00A91DCE">
      <w:pPr>
        <w:pStyle w:val="Heading3"/>
      </w:pPr>
      <w:r w:rsidRPr="00A91DCE">
        <w:t>Laying</w:t>
      </w:r>
    </w:p>
    <w:p w14:paraId="4AA1AC29" w14:textId="77777777" w:rsidR="00EB0CC2" w:rsidRDefault="00E657F5" w:rsidP="00A91DCE">
      <w:pPr>
        <w:pStyle w:val="BodyText"/>
      </w:pPr>
      <w:r>
        <w:t xml:space="preserve">Bituminous mixtures shall be laid in accordance with the requirements of BS 594987 and </w:t>
      </w:r>
      <w:r w:rsidR="008C6C99">
        <w:t xml:space="preserve">this </w:t>
      </w:r>
      <w:r w:rsidR="007330BE">
        <w:t>Cl</w:t>
      </w:r>
      <w:r>
        <w:t xml:space="preserve">ause. </w:t>
      </w:r>
    </w:p>
    <w:p w14:paraId="37568ED1" w14:textId="77777777" w:rsidR="00EB0CC2" w:rsidRDefault="00E657F5" w:rsidP="00A91DCE">
      <w:pPr>
        <w:pStyle w:val="BodyText"/>
      </w:pPr>
      <w:r>
        <w:t xml:space="preserve">Bituminous mixtures shall be spread, </w:t>
      </w:r>
      <w:r w:rsidR="00AA50C0">
        <w:t>levelled,</w:t>
      </w:r>
      <w:r>
        <w:t xml:space="preserve"> and tamped by a self-propelled paving machine.</w:t>
      </w:r>
    </w:p>
    <w:p w14:paraId="0EB1AD50" w14:textId="77777777" w:rsidR="00EB0CC2" w:rsidRDefault="00E657F5" w:rsidP="00A91DCE">
      <w:pPr>
        <w:pStyle w:val="BodyText"/>
      </w:pPr>
      <w:r>
        <w:t>Where the rate of delivery of material to the paver is intermittent for any reason, and the temperature of the material falls below that recommended by the manufacturer for laying, the cold material shall be</w:t>
      </w:r>
      <w:r w:rsidR="008C6C99">
        <w:t xml:space="preserve"> </w:t>
      </w:r>
      <w:r w:rsidR="002063E0">
        <w:t>removed,</w:t>
      </w:r>
      <w:r>
        <w:t xml:space="preserve"> and a perpendicular joint formed in accordance with </w:t>
      </w:r>
      <w:r w:rsidR="008C6C99">
        <w:t xml:space="preserve">MCHW </w:t>
      </w:r>
      <w:r>
        <w:t>Clause 903.35 before laying recommences.</w:t>
      </w:r>
    </w:p>
    <w:p w14:paraId="5152912E" w14:textId="77777777" w:rsidR="00EB0CC2" w:rsidRDefault="00E657F5" w:rsidP="00A91DCE">
      <w:pPr>
        <w:pStyle w:val="BodyText"/>
      </w:pPr>
      <w:r>
        <w:t xml:space="preserve">Hand placing of bituminous mixtures shall be restricted to the following circumstances: </w:t>
      </w:r>
    </w:p>
    <w:p w14:paraId="6798779C" w14:textId="77777777" w:rsidR="00EB0CC2" w:rsidRDefault="00E657F5" w:rsidP="008C6C99">
      <w:pPr>
        <w:pStyle w:val="Bullet"/>
      </w:pPr>
      <w:r>
        <w:t xml:space="preserve">For laying regulating courses of irregular shape and varying thickness, </w:t>
      </w:r>
    </w:p>
    <w:p w14:paraId="5F319D12" w14:textId="77777777" w:rsidR="00EB0CC2" w:rsidRDefault="00E657F5" w:rsidP="008C6C99">
      <w:pPr>
        <w:pStyle w:val="Bullet"/>
      </w:pPr>
      <w:r>
        <w:t xml:space="preserve">In confined spaces where it is impracticable for a paver to operate, </w:t>
      </w:r>
    </w:p>
    <w:p w14:paraId="0D63AFFB" w14:textId="77777777" w:rsidR="00EB0CC2" w:rsidRDefault="00E657F5" w:rsidP="008C6C99">
      <w:pPr>
        <w:pStyle w:val="Bullet"/>
      </w:pPr>
      <w:r>
        <w:t>For laying mastic asphalt.</w:t>
      </w:r>
    </w:p>
    <w:p w14:paraId="4462EE00" w14:textId="77777777" w:rsidR="00EB0CC2" w:rsidRDefault="00E657F5" w:rsidP="002063E0">
      <w:pPr>
        <w:pStyle w:val="BodyText"/>
      </w:pPr>
      <w:r>
        <w:t xml:space="preserve">Hand-raking of surface course material or the addition of such material by hand-spreading to the paved area, for adjustment of level, shall be restricted to the following circumstances: </w:t>
      </w:r>
    </w:p>
    <w:p w14:paraId="22514A39" w14:textId="77777777" w:rsidR="00EB0CC2" w:rsidRDefault="00E657F5" w:rsidP="008C6C99">
      <w:pPr>
        <w:pStyle w:val="Bullet"/>
      </w:pPr>
      <w:r>
        <w:t xml:space="preserve">At the edges of the layers of material and at gullies, manholes and other ironwork, and </w:t>
      </w:r>
    </w:p>
    <w:p w14:paraId="2399267B" w14:textId="77777777" w:rsidR="00EB0CC2" w:rsidRDefault="00E657F5" w:rsidP="008C6C99">
      <w:pPr>
        <w:pStyle w:val="Bullet"/>
      </w:pPr>
      <w:r>
        <w:t xml:space="preserve">At the approaches to expansion joints at bridges, </w:t>
      </w:r>
      <w:r w:rsidR="00AA50C0">
        <w:t>viaducts,</w:t>
      </w:r>
      <w:r>
        <w:t xml:space="preserve"> or other structures. </w:t>
      </w:r>
    </w:p>
    <w:p w14:paraId="4565F1E2" w14:textId="77777777" w:rsidR="00EB0CC2" w:rsidRDefault="00E657F5" w:rsidP="00EB0CC2">
      <w:r>
        <w:t>The method of laying shall be such that the finished mat is free from dragging, tearing and segregation of the material.</w:t>
      </w:r>
    </w:p>
    <w:p w14:paraId="72FD4397" w14:textId="77777777" w:rsidR="00EB0CC2" w:rsidRDefault="00E657F5" w:rsidP="00EB0CC2">
      <w:r>
        <w:t xml:space="preserve">When laying mixtures from more than one source, the mixtures shall have equivalent laying and compaction characteristics so that surface evenness is not compromised. </w:t>
      </w:r>
    </w:p>
    <w:p w14:paraId="7916E58C" w14:textId="77777777" w:rsidR="00EB0CC2" w:rsidRDefault="00E657F5" w:rsidP="00EB0CC2">
      <w:r>
        <w:t>When paving adjacent to an expansion joint of a structure, the joint or joint cavity shall be kept clear of material.</w:t>
      </w:r>
    </w:p>
    <w:p w14:paraId="7E712910" w14:textId="77777777" w:rsidR="00EB0CC2" w:rsidRDefault="00E657F5" w:rsidP="00EB0CC2">
      <w:r>
        <w:t xml:space="preserve">When laying binder course or surface course, the paver shall be taken out of use whilst laying the remainder of the pavement up to the joint and the corresponding area beyond it. </w:t>
      </w:r>
    </w:p>
    <w:p w14:paraId="564138BB" w14:textId="77777777" w:rsidR="00EB0CC2" w:rsidRDefault="00E657F5" w:rsidP="00EB0CC2">
      <w:r>
        <w:t>When paving directly onto bridge deck waterproofing systems, any special requirements which apply to that system shall be complied with.</w:t>
      </w:r>
    </w:p>
    <w:p w14:paraId="1F2A49C2" w14:textId="77777777" w:rsidR="00EB0CC2" w:rsidRPr="00A91DCE" w:rsidRDefault="00E657F5" w:rsidP="00A91DCE">
      <w:pPr>
        <w:pStyle w:val="Heading3"/>
      </w:pPr>
      <w:r w:rsidRPr="00A91DCE">
        <w:t>Tolerances</w:t>
      </w:r>
    </w:p>
    <w:p w14:paraId="345C5990" w14:textId="77777777" w:rsidR="00EB0CC2" w:rsidRPr="000133FA" w:rsidRDefault="00E657F5" w:rsidP="00EB0CC2">
      <w:r w:rsidRPr="000133FA">
        <w:rPr>
          <w:bCs/>
        </w:rPr>
        <w:t>W</w:t>
      </w:r>
      <w:r w:rsidRPr="000133FA">
        <w:t>here mixtures are to be laid the previous course</w:t>
      </w:r>
      <w:r w:rsidRPr="000133FA">
        <w:rPr>
          <w:bCs/>
        </w:rPr>
        <w:t xml:space="preserve"> </w:t>
      </w:r>
      <w:r w:rsidRPr="000133FA">
        <w:t>shall have been properly shaped and compacted by rolling to a uniform surface.  The permitted deviations of the level of the finished surface of each type of construction from the true surface levels of each type of construction shall not exceed the following values:</w:t>
      </w:r>
    </w:p>
    <w:p w14:paraId="55E4CB18" w14:textId="77777777" w:rsidR="00EB0CC2" w:rsidRPr="000133FA" w:rsidRDefault="00E657F5" w:rsidP="008C6C99">
      <w:pPr>
        <w:ind w:firstLine="720"/>
      </w:pPr>
      <w:r w:rsidRPr="000133FA">
        <w:t>(a)</w:t>
      </w:r>
      <w:r w:rsidRPr="000133FA">
        <w:tab/>
        <w:t>Sub-base to receive base</w:t>
      </w:r>
      <w:r w:rsidRPr="000133FA">
        <w:tab/>
      </w:r>
      <w:r w:rsidRPr="000133FA">
        <w:tab/>
      </w:r>
      <w:r w:rsidRPr="000133FA">
        <w:tab/>
      </w:r>
      <w:r w:rsidRPr="000133FA">
        <w:tab/>
        <w:t>+10 -30 mm</w:t>
      </w:r>
    </w:p>
    <w:p w14:paraId="45503322" w14:textId="77777777" w:rsidR="00EB0CC2" w:rsidRPr="000133FA" w:rsidRDefault="00E657F5" w:rsidP="008C6C99">
      <w:pPr>
        <w:ind w:firstLine="720"/>
      </w:pPr>
      <w:r w:rsidRPr="000133FA">
        <w:t>(b)</w:t>
      </w:r>
      <w:r w:rsidRPr="000133FA">
        <w:tab/>
        <w:t xml:space="preserve">Base to receive binder course </w:t>
      </w:r>
      <w:r w:rsidRPr="000133FA">
        <w:tab/>
      </w:r>
      <w:r w:rsidRPr="000133FA">
        <w:tab/>
      </w:r>
      <w:r w:rsidRPr="000133FA">
        <w:tab/>
        <w:t>±15 mm</w:t>
      </w:r>
    </w:p>
    <w:p w14:paraId="30C669E8" w14:textId="77777777" w:rsidR="00EB0CC2" w:rsidRPr="000133FA" w:rsidRDefault="00E657F5" w:rsidP="008C6C99">
      <w:pPr>
        <w:ind w:firstLine="720"/>
      </w:pPr>
      <w:r w:rsidRPr="000133FA">
        <w:t>(c)</w:t>
      </w:r>
      <w:r w:rsidRPr="000133FA">
        <w:tab/>
        <w:t xml:space="preserve">Binder course to receive surface course </w:t>
      </w:r>
      <w:r w:rsidRPr="000133FA">
        <w:tab/>
      </w:r>
      <w:r w:rsidRPr="000133FA">
        <w:tab/>
        <w:t>±6 mm</w:t>
      </w:r>
    </w:p>
    <w:p w14:paraId="46D9B8DB" w14:textId="77777777" w:rsidR="00EB0CC2" w:rsidRPr="000133FA" w:rsidRDefault="00E657F5" w:rsidP="008C6C99">
      <w:pPr>
        <w:ind w:firstLine="720"/>
      </w:pPr>
      <w:r w:rsidRPr="000133FA">
        <w:t>(d)</w:t>
      </w:r>
      <w:r w:rsidRPr="000133FA">
        <w:tab/>
        <w:t xml:space="preserve">Surface course, general </w:t>
      </w:r>
      <w:r w:rsidRPr="000133FA">
        <w:tab/>
      </w:r>
      <w:r w:rsidRPr="000133FA">
        <w:tab/>
      </w:r>
      <w:r w:rsidRPr="000133FA">
        <w:tab/>
      </w:r>
      <w:r w:rsidRPr="000133FA">
        <w:tab/>
        <w:t>±6 mm</w:t>
      </w:r>
    </w:p>
    <w:p w14:paraId="29957FA7" w14:textId="77777777" w:rsidR="00EB0CC2" w:rsidRPr="000133FA" w:rsidRDefault="00E657F5" w:rsidP="00EB0CC2">
      <w:r w:rsidRPr="000133FA">
        <w:t>Notwithstanding the above tolerances in surface levels, the cumulative tolerance shall not result in a reduction of the pavement, excluding the sub-base, by more than 15 mm from the specified thickness nor a reduction in the thickness of the bituminous surface course by more than 5 mm from that specified.</w:t>
      </w:r>
    </w:p>
    <w:p w14:paraId="674EF831" w14:textId="77777777" w:rsidR="00EB0CC2" w:rsidRPr="00A91DCE" w:rsidRDefault="00E657F5" w:rsidP="00A91DCE">
      <w:pPr>
        <w:pStyle w:val="Heading3"/>
      </w:pPr>
      <w:r w:rsidRPr="00A91DCE">
        <w:t>Surface Regularity</w:t>
      </w:r>
    </w:p>
    <w:p w14:paraId="5B94576D" w14:textId="77777777" w:rsidR="00EB0CC2" w:rsidRPr="000133FA" w:rsidRDefault="00E657F5" w:rsidP="00EB0CC2">
      <w:r w:rsidRPr="000133FA">
        <w:t xml:space="preserve">The requirements of MCHW </w:t>
      </w:r>
      <w:r w:rsidR="007330BE">
        <w:t>C</w:t>
      </w:r>
      <w:r w:rsidRPr="000133FA">
        <w:t>lause 702 Category A roads shall apply in full</w:t>
      </w:r>
      <w:r w:rsidR="00D42444">
        <w:t xml:space="preserve"> to all vehicular carriageways</w:t>
      </w:r>
      <w:r w:rsidRPr="000133FA">
        <w:t>.</w:t>
      </w:r>
    </w:p>
    <w:p w14:paraId="64EAD274" w14:textId="77777777" w:rsidR="00EB0CC2" w:rsidRPr="00A91DCE" w:rsidRDefault="00E657F5" w:rsidP="00A91DCE">
      <w:pPr>
        <w:pStyle w:val="Heading3"/>
      </w:pPr>
      <w:r w:rsidRPr="00A91DCE">
        <w:t>Chippings</w:t>
      </w:r>
    </w:p>
    <w:p w14:paraId="1F988E86" w14:textId="77777777" w:rsidR="00EB0CC2" w:rsidRDefault="00E657F5" w:rsidP="00EB0CC2">
      <w:r>
        <w:t>The application of coated chippings to areas of surface course shall be by a mechanical spreader capable of distributing chippings to an even rate of spread.</w:t>
      </w:r>
    </w:p>
    <w:p w14:paraId="3AA0711D" w14:textId="77777777" w:rsidR="00EB0CC2" w:rsidRDefault="00E657F5" w:rsidP="00EB0CC2">
      <w:r>
        <w:t xml:space="preserve">Addition of chippings by hand operation shall only be permitted in the following circumstances: </w:t>
      </w:r>
    </w:p>
    <w:p w14:paraId="3820357C" w14:textId="77777777" w:rsidR="008C6C99" w:rsidRDefault="00E657F5" w:rsidP="008C6C99">
      <w:pPr>
        <w:pStyle w:val="Bullet"/>
      </w:pPr>
      <w:r>
        <w:t xml:space="preserve">In </w:t>
      </w:r>
      <w:r w:rsidR="00EB0CC2">
        <w:t>confined spaces, where it is impracticable for a chipping spreader to operate</w:t>
      </w:r>
      <w:r>
        <w:t>,</w:t>
      </w:r>
    </w:p>
    <w:p w14:paraId="46B0A89E" w14:textId="77777777" w:rsidR="008C6C99" w:rsidRDefault="00E657F5" w:rsidP="008C6C99">
      <w:pPr>
        <w:pStyle w:val="Bullet"/>
      </w:pPr>
      <w:r>
        <w:t xml:space="preserve">As </w:t>
      </w:r>
      <w:r w:rsidR="00EB0CC2">
        <w:t xml:space="preserve">a temporary expedient, when adjustments </w:t>
      </w:r>
      <w:r w:rsidR="00AA50C0">
        <w:t>must</w:t>
      </w:r>
      <w:r w:rsidR="00EB0CC2">
        <w:t xml:space="preserve"> be made to the spreader distribution mechanism</w:t>
      </w:r>
      <w:r>
        <w:t xml:space="preserve">, </w:t>
      </w:r>
    </w:p>
    <w:p w14:paraId="024195AF" w14:textId="77777777" w:rsidR="008C6C99" w:rsidRDefault="00E657F5" w:rsidP="008C6C99">
      <w:pPr>
        <w:pStyle w:val="Bullet"/>
      </w:pPr>
      <w:r>
        <w:t xml:space="preserve">When </w:t>
      </w:r>
      <w:r w:rsidR="00EB0CC2">
        <w:t>hand laying of the surface course is permitted</w:t>
      </w:r>
      <w:r>
        <w:t xml:space="preserve">, </w:t>
      </w:r>
      <w:r w:rsidR="00EB0CC2">
        <w:t xml:space="preserve">and </w:t>
      </w:r>
    </w:p>
    <w:p w14:paraId="29181DB6" w14:textId="77777777" w:rsidR="00EB0CC2" w:rsidRDefault="00E657F5" w:rsidP="008C6C99">
      <w:pPr>
        <w:pStyle w:val="Bullet"/>
      </w:pPr>
      <w:r>
        <w:t>To correct uneven distribution of chippings.</w:t>
      </w:r>
    </w:p>
    <w:p w14:paraId="1D389F5F" w14:textId="77777777" w:rsidR="00EB0CC2" w:rsidRPr="00746060" w:rsidRDefault="00E657F5" w:rsidP="00EB0CC2">
      <w:pPr>
        <w:jc w:val="left"/>
      </w:pPr>
      <w:r>
        <w:t xml:space="preserve">Chippings shall be applied uniformly and rolled into the </w:t>
      </w:r>
      <w:r w:rsidR="001C3041">
        <w:t>surface,</w:t>
      </w:r>
      <w:r>
        <w:t xml:space="preserve"> so they are effectively held and provide the initial macrotexture depth specified in </w:t>
      </w:r>
      <w:r w:rsidR="000133FA">
        <w:t xml:space="preserve">MCHW </w:t>
      </w:r>
      <w:r>
        <w:t>Clause 921.</w:t>
      </w:r>
    </w:p>
    <w:p w14:paraId="2046B83C" w14:textId="77777777" w:rsidR="00EB0CC2" w:rsidRPr="00A91DCE" w:rsidRDefault="00E657F5" w:rsidP="00A91DCE">
      <w:pPr>
        <w:pStyle w:val="Heading3"/>
      </w:pPr>
      <w:r w:rsidRPr="00A91DCE">
        <w:t>Joints</w:t>
      </w:r>
    </w:p>
    <w:p w14:paraId="54169C87" w14:textId="77777777" w:rsidR="00EB0CC2" w:rsidRDefault="00E657F5" w:rsidP="00EB0CC2">
      <w:r>
        <w:t xml:space="preserve">For new, </w:t>
      </w:r>
      <w:r w:rsidR="00AA50C0">
        <w:t>widened,</w:t>
      </w:r>
      <w:r>
        <w:t xml:space="preserve"> and realigned pavement construction, all longitudinal joints in all layers shall be situated outside wheel track zones. </w:t>
      </w:r>
    </w:p>
    <w:p w14:paraId="027FD2DE" w14:textId="77777777" w:rsidR="00EB0CC2" w:rsidRDefault="00E657F5" w:rsidP="00EB0CC2">
      <w:r>
        <w:t xml:space="preserve">For the purposes of this Clause, for a 3.65m wide lane, the wheel track zones shall be taken to be between 0.5m and 1.1m and between 2.55m and 3.15m from the centre of the nearside lane markings for each traffic lane (or, in the absence of lane markings, lane edges). </w:t>
      </w:r>
    </w:p>
    <w:p w14:paraId="7CC950BB" w14:textId="77777777" w:rsidR="00EB0CC2" w:rsidRDefault="00E657F5" w:rsidP="00EB0CC2">
      <w:r>
        <w:t xml:space="preserve">Where the lane width is other than 3.65m then each wheel track zone shall be taken to be 0.6m wide with the inside edges of the wheel track offset from the centre of the lane by 0.72m. </w:t>
      </w:r>
    </w:p>
    <w:p w14:paraId="522B1E14" w14:textId="77777777" w:rsidR="00EB0CC2" w:rsidRDefault="00E657F5" w:rsidP="00EB0CC2">
      <w:r>
        <w:t>Where an existing road pavement is resurfaced, joints in the surface course shall coincide with either the lane edge, the lane marking, or the middle of a traffic lane, whichever is appropriate.</w:t>
      </w:r>
    </w:p>
    <w:p w14:paraId="5B2DD7AE" w14:textId="77777777" w:rsidR="00EB0CC2" w:rsidRDefault="00E657F5" w:rsidP="00EB0CC2">
      <w:r>
        <w:t xml:space="preserve">Joints </w:t>
      </w:r>
      <w:r w:rsidR="0063561F" w:rsidRPr="0063561F">
        <w:rPr>
          <w:b/>
          <w:bCs/>
          <w:u w:val="single"/>
        </w:rPr>
        <w:t xml:space="preserve">must </w:t>
      </w:r>
      <w:r w:rsidRPr="0063561F">
        <w:rPr>
          <w:b/>
          <w:bCs/>
          <w:u w:val="single"/>
        </w:rPr>
        <w:t>not</w:t>
      </w:r>
      <w:r>
        <w:t xml:space="preserve"> coincide with the wheel path. </w:t>
      </w:r>
    </w:p>
    <w:p w14:paraId="08B81611" w14:textId="77777777" w:rsidR="00EB0CC2" w:rsidRDefault="00E657F5" w:rsidP="00EB0CC2">
      <w:r>
        <w:t xml:space="preserve">Stepping of all joints shall be offset by 300mm from parallel joints in the layer beneath. </w:t>
      </w:r>
    </w:p>
    <w:p w14:paraId="19333437" w14:textId="77777777" w:rsidR="00EB0CC2" w:rsidRDefault="00E657F5" w:rsidP="00EB0CC2">
      <w:r>
        <w:t xml:space="preserve">Where the requirements of 300mm steps and prohibition of joints in wheel track zones cannot be met, for example due to new lane configuration, the joints shall be offset as close as practicable to 300mm but not less than 150mm and only if the layer above is less than 150mm thick. </w:t>
      </w:r>
    </w:p>
    <w:p w14:paraId="5C66D1A2" w14:textId="77777777" w:rsidR="008C6C99" w:rsidRDefault="00E657F5" w:rsidP="008C6C99">
      <w:r>
        <w:t xml:space="preserve">The faces of all cold upstanding edges, including previously laid asphalt, against which bituminous mixtures are to be laid to form joints shall be treated with one of the following: </w:t>
      </w:r>
    </w:p>
    <w:p w14:paraId="6F8521C5" w14:textId="77777777" w:rsidR="008C6C99" w:rsidRPr="005036CD" w:rsidRDefault="00E657F5" w:rsidP="005036CD">
      <w:pPr>
        <w:pStyle w:val="Bullet"/>
      </w:pPr>
      <w:r>
        <w:t>H</w:t>
      </w:r>
      <w:r w:rsidRPr="008C6C99">
        <w:t xml:space="preserve">ot </w:t>
      </w:r>
      <w:r w:rsidR="00EB0CC2" w:rsidRPr="008C6C99">
        <w:t>elastomeric polymer-modified bituminous binder complying with BS EN 14023 with a penetration Class 4</w:t>
      </w:r>
      <w:r>
        <w:t>,</w:t>
      </w:r>
      <w:r w:rsidRPr="008C6C99">
        <w:t xml:space="preserve"> </w:t>
      </w:r>
    </w:p>
    <w:p w14:paraId="616D6E50" w14:textId="77777777" w:rsidR="00EB0CC2" w:rsidRPr="008C6C99" w:rsidRDefault="00E657F5" w:rsidP="005036CD">
      <w:pPr>
        <w:pStyle w:val="Bullet"/>
      </w:pPr>
      <w:r>
        <w:t xml:space="preserve">Polymer </w:t>
      </w:r>
      <w:r w:rsidR="008F0640">
        <w:t>modified bitumen emulsion complying with</w:t>
      </w:r>
      <w:r w:rsidR="00697CD6">
        <w:t xml:space="preserve"> </w:t>
      </w:r>
      <w:r w:rsidR="00697CD6" w:rsidRPr="00697CD6">
        <w:t>BS 594987 and BS EN 13808 Cohesion, table 4 class 4</w:t>
      </w:r>
      <w:r>
        <w:t>.</w:t>
      </w:r>
    </w:p>
    <w:p w14:paraId="3E2DD4B2" w14:textId="77777777" w:rsidR="00EB0CC2" w:rsidRDefault="00E657F5" w:rsidP="00EB0CC2">
      <w:pPr>
        <w:jc w:val="left"/>
      </w:pPr>
      <w:r>
        <w:t xml:space="preserve">This operation shall be done so that the binder adheres to both the cold and the warm upstanding edges when the asphalt is placed.  </w:t>
      </w:r>
    </w:p>
    <w:p w14:paraId="7F457E23" w14:textId="77777777" w:rsidR="00EB0CC2" w:rsidRDefault="00E657F5" w:rsidP="00EB0CC2">
      <w:pPr>
        <w:jc w:val="left"/>
      </w:pPr>
      <w:r>
        <w:t>Joints in binder courses and bases shall be compacted such</w:t>
      </w:r>
      <w:r w:rsidR="005036CD">
        <w:t xml:space="preserve">, that when requested by the </w:t>
      </w:r>
      <w:r w:rsidR="00041A2E">
        <w:t>Engineer</w:t>
      </w:r>
      <w:r w:rsidR="005036CD">
        <w:t xml:space="preserve">, </w:t>
      </w:r>
      <w:r>
        <w:t>the air voids content measured from core pairs whose centres are not more than 100mm from the final joint is not greater than 2% above the maximum permitted limit for core pairs in the body of the mat.</w:t>
      </w:r>
    </w:p>
    <w:p w14:paraId="2804FDE0" w14:textId="77777777" w:rsidR="00EB0CC2" w:rsidRDefault="00E657F5" w:rsidP="00EB0CC2">
      <w:pPr>
        <w:jc w:val="left"/>
      </w:pPr>
      <w:r>
        <w:t>The air voids content shall be calculated in accordance with BS EN 12697-8 using the relevant bulk and maximum densities defined in Appendix B of BS EN 13108-20 for the relevant mixture type.</w:t>
      </w:r>
    </w:p>
    <w:p w14:paraId="628C4946" w14:textId="77777777" w:rsidR="00EB0CC2" w:rsidRDefault="00E657F5" w:rsidP="00EB0CC2">
      <w:pPr>
        <w:jc w:val="left"/>
      </w:pPr>
      <w:r>
        <w:t>Within 24 hours of the joint being formed, a sealant shall be applied to the top surface of all base and binder course joints such that there is not less than 0.50 kg/m2 of residual bitumen 75mm either side of the joint</w:t>
      </w:r>
      <w:r w:rsidR="005036CD">
        <w:t>.</w:t>
      </w:r>
    </w:p>
    <w:p w14:paraId="3AE3E689" w14:textId="77777777" w:rsidR="00EB0CC2" w:rsidRDefault="00E657F5" w:rsidP="00EB0CC2">
      <w:pPr>
        <w:jc w:val="left"/>
      </w:pPr>
      <w:r>
        <w:t xml:space="preserve">The sealant, which may contain mineral filler to BS EN 13043, shall be one of the following: </w:t>
      </w:r>
    </w:p>
    <w:p w14:paraId="540FE305" w14:textId="77777777" w:rsidR="005036CD" w:rsidRDefault="00E657F5" w:rsidP="005036CD">
      <w:pPr>
        <w:pStyle w:val="Bullet"/>
      </w:pPr>
      <w:r>
        <w:t xml:space="preserve">Hot </w:t>
      </w:r>
      <w:r w:rsidR="00EB0CC2">
        <w:t>elastomeric polymer-modified bituminous binder complying with BS EN 14023 with a penetration Class 4</w:t>
      </w:r>
      <w:r>
        <w:t xml:space="preserve">, </w:t>
      </w:r>
    </w:p>
    <w:p w14:paraId="00851B13" w14:textId="77777777" w:rsidR="005036CD" w:rsidRDefault="00E657F5" w:rsidP="005036CD">
      <w:pPr>
        <w:pStyle w:val="Bullet"/>
      </w:pPr>
      <w:r>
        <w:t xml:space="preserve">Bitumen </w:t>
      </w:r>
      <w:r w:rsidR="00EB0CC2">
        <w:t>emulsion with a cohesion by pendulum of Class 4 or above in accordance with BS EN 13808</w:t>
      </w:r>
      <w:r>
        <w:t xml:space="preserve">, </w:t>
      </w:r>
      <w:r w:rsidR="00EB0CC2">
        <w:t xml:space="preserve">or </w:t>
      </w:r>
    </w:p>
    <w:p w14:paraId="0D6C5CBB" w14:textId="77777777" w:rsidR="00EB0CC2" w:rsidRPr="005036CD" w:rsidRDefault="00E657F5" w:rsidP="005036CD">
      <w:pPr>
        <w:pStyle w:val="Heading3"/>
      </w:pPr>
      <w:r w:rsidRPr="005036CD">
        <w:t>Regulating Course</w:t>
      </w:r>
    </w:p>
    <w:p w14:paraId="112E2796" w14:textId="77777777" w:rsidR="00EB0CC2" w:rsidRDefault="00E657F5" w:rsidP="00EB0CC2">
      <w:pPr>
        <w:jc w:val="left"/>
      </w:pPr>
      <w:r>
        <w:t xml:space="preserve">Regulating course material shall be produced and laid in accordance with the requirements of </w:t>
      </w:r>
      <w:r w:rsidR="00B74264">
        <w:t xml:space="preserve">MCHW </w:t>
      </w:r>
      <w:r>
        <w:t>Clause 907.</w:t>
      </w:r>
    </w:p>
    <w:p w14:paraId="32B16692" w14:textId="77777777" w:rsidR="00EB0CC2" w:rsidRPr="005036CD" w:rsidRDefault="00E657F5" w:rsidP="005036CD">
      <w:pPr>
        <w:pStyle w:val="Heading3"/>
      </w:pPr>
      <w:r w:rsidRPr="005036CD">
        <w:t>Use of Surfaces by Traffic</w:t>
      </w:r>
    </w:p>
    <w:p w14:paraId="5AB8AC4B" w14:textId="77777777" w:rsidR="00EB0CC2" w:rsidRDefault="00E657F5" w:rsidP="00EB0CC2">
      <w:pPr>
        <w:jc w:val="left"/>
      </w:pPr>
      <w:r>
        <w:t xml:space="preserve">Where a new bituminous layer other than the surface course is to be opened to highway traffic as a temporary running surface it shall either: </w:t>
      </w:r>
    </w:p>
    <w:p w14:paraId="79B692BF" w14:textId="77777777" w:rsidR="005036CD" w:rsidRDefault="00E657F5" w:rsidP="005036CD">
      <w:pPr>
        <w:pStyle w:val="Bullet"/>
      </w:pPr>
      <w:r>
        <w:t>B</w:t>
      </w:r>
      <w:r w:rsidRPr="005036CD">
        <w:t xml:space="preserve">e </w:t>
      </w:r>
      <w:r w:rsidR="00EB0CC2" w:rsidRPr="005036CD">
        <w:t xml:space="preserve">surface dressed in accordance with </w:t>
      </w:r>
      <w:r w:rsidR="00B74264">
        <w:t xml:space="preserve">MCHW </w:t>
      </w:r>
      <w:r w:rsidR="00EB0CC2" w:rsidRPr="005036CD">
        <w:t>Clause 919 using chippings of category not less than PSV50</w:t>
      </w:r>
      <w:r>
        <w:t>, or</w:t>
      </w:r>
    </w:p>
    <w:p w14:paraId="6C289548" w14:textId="77777777" w:rsidR="00EB0CC2" w:rsidRDefault="00E657F5" w:rsidP="005036CD">
      <w:pPr>
        <w:pStyle w:val="Bullet"/>
      </w:pPr>
      <w:r>
        <w:t>C</w:t>
      </w:r>
      <w:r w:rsidRPr="005036CD">
        <w:t>ontain a coarse aggregate of category of not less than PSV50</w:t>
      </w:r>
      <w:r>
        <w:t>.</w:t>
      </w:r>
    </w:p>
    <w:p w14:paraId="6BF3DA93" w14:textId="77777777" w:rsidR="00EB0CC2" w:rsidRDefault="00E657F5" w:rsidP="00EB0CC2">
      <w:pPr>
        <w:jc w:val="left"/>
      </w:pPr>
      <w:r>
        <w:t>Construction plant and traffic shall not be permitted to damage the sub</w:t>
      </w:r>
      <w:r w:rsidR="005036CD">
        <w:t>-</w:t>
      </w:r>
      <w:r w:rsidR="00AA50C0">
        <w:t>grade,</w:t>
      </w:r>
      <w:r>
        <w:t xml:space="preserve"> or the pavement courses already constructed.</w:t>
      </w:r>
      <w:r w:rsidR="005036CD">
        <w:t xml:space="preserve"> R</w:t>
      </w:r>
      <w:r>
        <w:t>unning surfaces used by construction traffic shall be kept free of deleterious materials.</w:t>
      </w:r>
    </w:p>
    <w:p w14:paraId="05151724" w14:textId="77777777" w:rsidR="005036CD" w:rsidRPr="005036CD" w:rsidRDefault="00E657F5" w:rsidP="005036CD">
      <w:pPr>
        <w:pStyle w:val="Heading3"/>
      </w:pPr>
      <w:r>
        <w:t xml:space="preserve">Laying, </w:t>
      </w:r>
      <w:r w:rsidR="000644EB">
        <w:t xml:space="preserve">Compaction, </w:t>
      </w:r>
      <w:r w:rsidRPr="005036CD">
        <w:t>Inspection and Testing of Cold Recycled Bound Materials (CRBM)</w:t>
      </w:r>
      <w:r w:rsidR="00FD767B">
        <w:t>, Cement Bound Granular M</w:t>
      </w:r>
      <w:r w:rsidR="009A194C">
        <w:t>ixtures</w:t>
      </w:r>
      <w:r w:rsidR="00FD767B">
        <w:t xml:space="preserve"> (CBGM) and </w:t>
      </w:r>
      <w:r w:rsidR="00215C4C">
        <w:t>Hydraulically Bound M</w:t>
      </w:r>
      <w:r w:rsidR="009A194C">
        <w:t>ixtures</w:t>
      </w:r>
      <w:r w:rsidR="00215C4C">
        <w:t xml:space="preserve"> </w:t>
      </w:r>
      <w:r w:rsidR="00DF4D28">
        <w:t>(HBM)</w:t>
      </w:r>
    </w:p>
    <w:p w14:paraId="15257C8C" w14:textId="77777777" w:rsidR="00B56828" w:rsidRPr="00DB58FD" w:rsidRDefault="00E657F5" w:rsidP="00B56828">
      <w:pPr>
        <w:rPr>
          <w:b/>
          <w:bCs/>
        </w:rPr>
      </w:pPr>
      <w:r>
        <w:rPr>
          <w:b/>
          <w:bCs/>
        </w:rPr>
        <w:t>Laying</w:t>
      </w:r>
    </w:p>
    <w:p w14:paraId="5A27D0BD" w14:textId="77777777" w:rsidR="00B56828" w:rsidRDefault="00E657F5" w:rsidP="005036CD">
      <w:r>
        <w:t>In general</w:t>
      </w:r>
      <w:r w:rsidR="00194A29">
        <w:t>,</w:t>
      </w:r>
      <w:r>
        <w:t xml:space="preserve"> CRBM</w:t>
      </w:r>
      <w:r w:rsidR="00FD767B">
        <w:t>, CBGM</w:t>
      </w:r>
      <w:r>
        <w:t xml:space="preserve"> </w:t>
      </w:r>
      <w:r w:rsidR="00493656">
        <w:t>and</w:t>
      </w:r>
      <w:r w:rsidR="00B74264">
        <w:t xml:space="preserve"> HBM</w:t>
      </w:r>
      <w:r w:rsidR="00493656">
        <w:t xml:space="preserve"> </w:t>
      </w:r>
      <w:r>
        <w:t>requires a greater surcharge tha</w:t>
      </w:r>
      <w:r w:rsidR="00194A29">
        <w:t>n</w:t>
      </w:r>
      <w:r>
        <w:t xml:space="preserve"> conventional asphalt, as such the ability of the paver to lay thick layers shall be confirmed</w:t>
      </w:r>
      <w:r w:rsidR="00194A29">
        <w:t xml:space="preserve"> with the </w:t>
      </w:r>
      <w:r w:rsidR="00041A2E">
        <w:t xml:space="preserve">Engineer </w:t>
      </w:r>
      <w:r w:rsidR="00194A29">
        <w:t xml:space="preserve">prior to laying operations commencing. A high compaction screed may give </w:t>
      </w:r>
      <w:r w:rsidR="00F805D8">
        <w:t xml:space="preserve">greater </w:t>
      </w:r>
      <w:r w:rsidR="00194A29">
        <w:t>flexibility in layer thicknesses, especially where base and binder courses incorporate CRBM.</w:t>
      </w:r>
    </w:p>
    <w:p w14:paraId="447FC03F" w14:textId="77777777" w:rsidR="00403714" w:rsidRDefault="00E657F5" w:rsidP="005036CD">
      <w:r>
        <w:t>When laying CBGM and HBM base courses unless</w:t>
      </w:r>
      <w:r w:rsidRPr="001031BA">
        <w:t xml:space="preserve"> </w:t>
      </w:r>
      <w:r>
        <w:t xml:space="preserve">the material is to be covered immediately by another pavement layer, a seal coat </w:t>
      </w:r>
      <w:r w:rsidR="0093482C">
        <w:t xml:space="preserve">must </w:t>
      </w:r>
      <w:r>
        <w:t xml:space="preserve">be applied to ensure </w:t>
      </w:r>
      <w:r w:rsidR="002014C3">
        <w:t>retention</w:t>
      </w:r>
      <w:r>
        <w:t xml:space="preserve"> of </w:t>
      </w:r>
      <w:r w:rsidR="002014C3">
        <w:t>sufficient moisture for hydration</w:t>
      </w:r>
      <w:r>
        <w:t>. One of three options must be employed:</w:t>
      </w:r>
    </w:p>
    <w:p w14:paraId="73FF05B4" w14:textId="77777777" w:rsidR="00403714" w:rsidRDefault="00E657F5" w:rsidP="00876477">
      <w:pPr>
        <w:pStyle w:val="ListParagraph"/>
        <w:numPr>
          <w:ilvl w:val="0"/>
          <w:numId w:val="17"/>
        </w:numPr>
      </w:pPr>
      <w:r>
        <w:t>Machin</w:t>
      </w:r>
      <w:r w:rsidR="009F5710">
        <w:t>e</w:t>
      </w:r>
      <w:r>
        <w:t xml:space="preserve"> spray tanker</w:t>
      </w:r>
      <w:r w:rsidR="001031BA">
        <w:t xml:space="preserve"> application of a 40% bitumen emulsion applied at not less than 0.5 litre/m</w:t>
      </w:r>
      <w:r w:rsidR="001031BA" w:rsidRPr="00403714">
        <w:rPr>
          <w:vertAlign w:val="superscript"/>
        </w:rPr>
        <w:t>2</w:t>
      </w:r>
      <w:r w:rsidR="001031BA">
        <w:t xml:space="preserve"> to seal the surface,</w:t>
      </w:r>
    </w:p>
    <w:p w14:paraId="198ABBE9" w14:textId="77777777" w:rsidR="00403714" w:rsidRDefault="00E657F5" w:rsidP="00876477">
      <w:pPr>
        <w:pStyle w:val="ListParagraph"/>
        <w:numPr>
          <w:ilvl w:val="0"/>
          <w:numId w:val="17"/>
        </w:numPr>
      </w:pPr>
      <w:r>
        <w:t xml:space="preserve">Application of an </w:t>
      </w:r>
      <w:r w:rsidR="001031BA">
        <w:t>aluminised compound</w:t>
      </w:r>
      <w:r w:rsidR="0093482C">
        <w:t>,</w:t>
      </w:r>
    </w:p>
    <w:p w14:paraId="7A57944F" w14:textId="77777777" w:rsidR="001031BA" w:rsidRDefault="00E657F5" w:rsidP="00876477">
      <w:pPr>
        <w:pStyle w:val="ListParagraph"/>
        <w:numPr>
          <w:ilvl w:val="0"/>
          <w:numId w:val="17"/>
        </w:numPr>
      </w:pPr>
      <w:r>
        <w:t>The very frequent application of water spray. (</w:t>
      </w:r>
      <w:r w:rsidR="00D2029B">
        <w:t>Only</w:t>
      </w:r>
      <w:r>
        <w:t xml:space="preserve"> be </w:t>
      </w:r>
      <w:r w:rsidR="008B27C7">
        <w:t>appropriate</w:t>
      </w:r>
      <w:r>
        <w:t xml:space="preserve"> where two or more lifts are </w:t>
      </w:r>
      <w:r w:rsidR="00C14281">
        <w:t>employed,</w:t>
      </w:r>
      <w:r>
        <w:t xml:space="preserve"> and bond is required between the lifts)</w:t>
      </w:r>
    </w:p>
    <w:p w14:paraId="0CE1A386" w14:textId="77777777" w:rsidR="00194A29" w:rsidRPr="00DB58FD" w:rsidRDefault="00E657F5" w:rsidP="00194A29">
      <w:pPr>
        <w:rPr>
          <w:b/>
          <w:bCs/>
        </w:rPr>
      </w:pPr>
      <w:r w:rsidRPr="00DB58FD">
        <w:rPr>
          <w:b/>
          <w:bCs/>
        </w:rPr>
        <w:t xml:space="preserve">Compaction </w:t>
      </w:r>
    </w:p>
    <w:p w14:paraId="474AF2DE" w14:textId="77777777" w:rsidR="00194A29" w:rsidRDefault="00E657F5" w:rsidP="005036CD">
      <w:r>
        <w:t>Compaction shall be carried out in accordance with the general requirements of BS 594987</w:t>
      </w:r>
      <w:r w:rsidR="00A3103D">
        <w:t xml:space="preserve"> and using a vi</w:t>
      </w:r>
      <w:r w:rsidR="00131BA5">
        <w:t>brating roller</w:t>
      </w:r>
      <w:r w:rsidR="008E3108">
        <w:t xml:space="preserve">. Initial passes shall be carried out using dead weight only and the level of vibration </w:t>
      </w:r>
      <w:r w:rsidR="00D93F3A">
        <w:t>gradually increased.</w:t>
      </w:r>
    </w:p>
    <w:p w14:paraId="2154086A" w14:textId="77777777" w:rsidR="00D93F3A" w:rsidRDefault="00E657F5" w:rsidP="005036CD">
      <w:r>
        <w:t xml:space="preserve">For </w:t>
      </w:r>
      <w:r w:rsidR="00E462B0">
        <w:t xml:space="preserve">CBGM </w:t>
      </w:r>
      <w:r w:rsidR="00A573EE">
        <w:t>and</w:t>
      </w:r>
      <w:r w:rsidR="00E462B0">
        <w:t xml:space="preserve"> </w:t>
      </w:r>
      <w:r>
        <w:t>HBM mixtures</w:t>
      </w:r>
      <w:r w:rsidR="006B01C9">
        <w:t xml:space="preserve"> and CRBM not containing</w:t>
      </w:r>
      <w:r>
        <w:t xml:space="preserve"> bitumen, </w:t>
      </w:r>
      <w:r w:rsidR="004450B9">
        <w:t>a finishing</w:t>
      </w:r>
      <w:r>
        <w:t xml:space="preserve"> pneumatic tyred roller </w:t>
      </w:r>
      <w:r w:rsidR="00C14281">
        <w:t xml:space="preserve">(PTR) </w:t>
      </w:r>
      <w:r>
        <w:t>with a wheel load of not less than 3 tonnes operating at a minimum tyre pressure of 4 bar</w:t>
      </w:r>
      <w:r w:rsidR="004450B9">
        <w:t xml:space="preserve"> shall also be used.</w:t>
      </w:r>
    </w:p>
    <w:p w14:paraId="2FD39536" w14:textId="77777777" w:rsidR="002262EC" w:rsidRDefault="00E657F5" w:rsidP="005036CD">
      <w:r>
        <w:t>Consideration shall also be given to the use of a PTR or combi roller for CR</w:t>
      </w:r>
      <w:r w:rsidR="0050077D">
        <w:t>B</w:t>
      </w:r>
      <w:r>
        <w:t xml:space="preserve">M incorporating bitumen, </w:t>
      </w:r>
      <w:r w:rsidR="00DF7B43">
        <w:t>noting the contractors experience with installing such material with such plant.</w:t>
      </w:r>
    </w:p>
    <w:p w14:paraId="63101620" w14:textId="77777777" w:rsidR="005036CD" w:rsidRPr="00AA6591" w:rsidRDefault="00E657F5" w:rsidP="005036CD">
      <w:pPr>
        <w:rPr>
          <w:b/>
          <w:bCs/>
        </w:rPr>
      </w:pPr>
      <w:r w:rsidRPr="00194A29">
        <w:rPr>
          <w:b/>
          <w:bCs/>
        </w:rPr>
        <w:t>Production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385"/>
        <w:gridCol w:w="4622"/>
      </w:tblGrid>
      <w:tr w:rsidR="00B933CA" w14:paraId="3DCF6C0A" w14:textId="77777777" w:rsidTr="002F2B15">
        <w:tc>
          <w:tcPr>
            <w:tcW w:w="3005" w:type="dxa"/>
            <w:shd w:val="clear" w:color="auto" w:fill="B4C6E7"/>
          </w:tcPr>
          <w:p w14:paraId="7B2DBDD6" w14:textId="77777777" w:rsidR="005036CD" w:rsidRPr="00F001B2" w:rsidRDefault="00E657F5" w:rsidP="008556F2">
            <w:pPr>
              <w:pStyle w:val="Pa23"/>
              <w:jc w:val="both"/>
              <w:rPr>
                <w:rFonts w:ascii="Arial" w:hAnsi="Arial" w:cs="Arial"/>
                <w:b/>
                <w:bCs/>
                <w:color w:val="000000"/>
                <w:sz w:val="20"/>
                <w:szCs w:val="20"/>
              </w:rPr>
            </w:pPr>
            <w:r w:rsidRPr="00F001B2">
              <w:rPr>
                <w:rFonts w:ascii="Arial" w:hAnsi="Arial" w:cs="Arial"/>
                <w:b/>
                <w:bCs/>
                <w:color w:val="000000"/>
                <w:sz w:val="20"/>
                <w:szCs w:val="20"/>
              </w:rPr>
              <w:t>Item</w:t>
            </w:r>
          </w:p>
        </w:tc>
        <w:tc>
          <w:tcPr>
            <w:tcW w:w="1385" w:type="dxa"/>
            <w:tcBorders>
              <w:bottom w:val="single" w:sz="4" w:space="0" w:color="auto"/>
            </w:tcBorders>
            <w:shd w:val="clear" w:color="auto" w:fill="B4C6E7"/>
          </w:tcPr>
          <w:p w14:paraId="24D8B062" w14:textId="77777777" w:rsidR="005036CD" w:rsidRPr="00F001B2" w:rsidRDefault="00E657F5" w:rsidP="008556F2">
            <w:pPr>
              <w:pStyle w:val="Pa23"/>
              <w:jc w:val="both"/>
              <w:rPr>
                <w:rFonts w:ascii="Arial" w:hAnsi="Arial" w:cs="Arial"/>
                <w:b/>
                <w:bCs/>
                <w:color w:val="000000"/>
                <w:sz w:val="20"/>
                <w:szCs w:val="20"/>
              </w:rPr>
            </w:pPr>
            <w:r w:rsidRPr="00F001B2">
              <w:rPr>
                <w:rFonts w:ascii="Arial" w:hAnsi="Arial" w:cs="Arial"/>
                <w:b/>
                <w:bCs/>
                <w:color w:val="000000"/>
                <w:sz w:val="20"/>
                <w:szCs w:val="20"/>
              </w:rPr>
              <w:t xml:space="preserve">Inspection </w:t>
            </w:r>
          </w:p>
        </w:tc>
        <w:tc>
          <w:tcPr>
            <w:tcW w:w="4626" w:type="dxa"/>
            <w:tcBorders>
              <w:bottom w:val="single" w:sz="4" w:space="0" w:color="auto"/>
            </w:tcBorders>
            <w:shd w:val="clear" w:color="auto" w:fill="B4C6E7"/>
          </w:tcPr>
          <w:p w14:paraId="27F359F9" w14:textId="77777777" w:rsidR="005036CD" w:rsidRPr="00F001B2" w:rsidRDefault="00E657F5" w:rsidP="008556F2">
            <w:pPr>
              <w:pStyle w:val="Pa23"/>
              <w:jc w:val="both"/>
              <w:rPr>
                <w:rFonts w:ascii="Arial" w:hAnsi="Arial" w:cs="Arial"/>
                <w:b/>
                <w:bCs/>
                <w:color w:val="000000"/>
                <w:sz w:val="20"/>
                <w:szCs w:val="20"/>
              </w:rPr>
            </w:pPr>
            <w:r w:rsidRPr="00F001B2">
              <w:rPr>
                <w:rFonts w:ascii="Arial" w:hAnsi="Arial" w:cs="Arial"/>
                <w:b/>
                <w:bCs/>
                <w:color w:val="000000"/>
                <w:sz w:val="20"/>
                <w:szCs w:val="20"/>
              </w:rPr>
              <w:t>Test</w:t>
            </w:r>
          </w:p>
        </w:tc>
      </w:tr>
      <w:tr w:rsidR="00B933CA" w14:paraId="1AFA99EA" w14:textId="77777777" w:rsidTr="002F2B15">
        <w:tc>
          <w:tcPr>
            <w:tcW w:w="3005" w:type="dxa"/>
            <w:shd w:val="clear" w:color="auto" w:fill="B4C6E7"/>
          </w:tcPr>
          <w:p w14:paraId="59709984" w14:textId="77777777" w:rsidR="005036CD" w:rsidRPr="00810BA6" w:rsidRDefault="00E657F5" w:rsidP="00455EF9">
            <w:pPr>
              <w:rPr>
                <w:rFonts w:eastAsia="Cambria" w:cs="Arial"/>
                <w:b/>
                <w:bCs/>
                <w:sz w:val="20"/>
                <w:szCs w:val="20"/>
                <w:lang w:eastAsia="en-GB"/>
              </w:rPr>
            </w:pPr>
            <w:r w:rsidRPr="00810BA6">
              <w:rPr>
                <w:rFonts w:eastAsia="Cambria" w:cs="Arial"/>
                <w:b/>
                <w:bCs/>
                <w:sz w:val="20"/>
                <w:szCs w:val="20"/>
                <w:lang w:eastAsia="en-GB"/>
              </w:rPr>
              <w:t>Aggregate stockpiles</w:t>
            </w:r>
          </w:p>
        </w:tc>
        <w:tc>
          <w:tcPr>
            <w:tcW w:w="1385" w:type="dxa"/>
            <w:shd w:val="clear" w:color="auto" w:fill="FBE4D5"/>
          </w:tcPr>
          <w:p w14:paraId="4FBE4DA5" w14:textId="77777777" w:rsidR="005036CD" w:rsidRPr="00F001B2" w:rsidRDefault="00E657F5" w:rsidP="008556F2">
            <w:pPr>
              <w:jc w:val="center"/>
              <w:rPr>
                <w:rFonts w:eastAsia="Cambria" w:cs="Arial"/>
                <w:sz w:val="20"/>
                <w:szCs w:val="20"/>
                <w:lang w:eastAsia="en-GB"/>
              </w:rPr>
            </w:pPr>
            <w:r w:rsidRPr="00F001B2">
              <w:rPr>
                <w:rFonts w:eastAsia="Cambria" w:cs="Arial"/>
                <w:sz w:val="20"/>
                <w:szCs w:val="20"/>
                <w:lang w:eastAsia="en-GB"/>
              </w:rPr>
              <w:t>Daily</w:t>
            </w:r>
          </w:p>
        </w:tc>
        <w:tc>
          <w:tcPr>
            <w:tcW w:w="4626" w:type="dxa"/>
            <w:shd w:val="clear" w:color="auto" w:fill="FBE4D5"/>
          </w:tcPr>
          <w:p w14:paraId="52B593F9" w14:textId="77777777" w:rsidR="005036CD" w:rsidRPr="00F001B2" w:rsidRDefault="00E657F5" w:rsidP="008556F2">
            <w:pPr>
              <w:jc w:val="center"/>
              <w:rPr>
                <w:rFonts w:eastAsia="Cambria" w:cs="Arial"/>
                <w:sz w:val="20"/>
                <w:szCs w:val="20"/>
                <w:lang w:eastAsia="en-GB"/>
              </w:rPr>
            </w:pPr>
            <w:r w:rsidRPr="00F001B2">
              <w:rPr>
                <w:rFonts w:eastAsia="Cambria" w:cs="Arial"/>
                <w:sz w:val="20"/>
                <w:szCs w:val="20"/>
                <w:lang w:eastAsia="en-GB"/>
              </w:rPr>
              <w:t>Grading and moisture content before production and weekly</w:t>
            </w:r>
          </w:p>
        </w:tc>
      </w:tr>
      <w:tr w:rsidR="00B933CA" w14:paraId="611B4141" w14:textId="77777777" w:rsidTr="002F2B15">
        <w:tc>
          <w:tcPr>
            <w:tcW w:w="3005" w:type="dxa"/>
            <w:shd w:val="clear" w:color="auto" w:fill="B4C6E7"/>
          </w:tcPr>
          <w:p w14:paraId="1AEF7369" w14:textId="77777777" w:rsidR="005036CD" w:rsidRPr="00810BA6" w:rsidRDefault="00E657F5" w:rsidP="00455EF9">
            <w:pPr>
              <w:rPr>
                <w:rFonts w:eastAsia="Cambria" w:cs="Arial"/>
                <w:b/>
                <w:bCs/>
                <w:sz w:val="20"/>
                <w:szCs w:val="20"/>
                <w:lang w:eastAsia="en-GB"/>
              </w:rPr>
            </w:pPr>
            <w:r w:rsidRPr="00810BA6">
              <w:rPr>
                <w:rFonts w:eastAsia="Cambria" w:cs="Arial"/>
                <w:b/>
                <w:bCs/>
                <w:sz w:val="20"/>
                <w:szCs w:val="20"/>
                <w:lang w:eastAsia="en-GB"/>
              </w:rPr>
              <w:t>Binders</w:t>
            </w:r>
          </w:p>
        </w:tc>
        <w:tc>
          <w:tcPr>
            <w:tcW w:w="1385" w:type="dxa"/>
            <w:shd w:val="clear" w:color="auto" w:fill="FBE4D5"/>
          </w:tcPr>
          <w:p w14:paraId="6F2B4EF8" w14:textId="77777777" w:rsidR="005036CD" w:rsidRPr="00F001B2" w:rsidRDefault="00E657F5" w:rsidP="008556F2">
            <w:pPr>
              <w:jc w:val="center"/>
              <w:rPr>
                <w:rFonts w:eastAsia="Cambria" w:cs="Arial"/>
                <w:sz w:val="20"/>
                <w:szCs w:val="20"/>
                <w:lang w:eastAsia="en-GB"/>
              </w:rPr>
            </w:pPr>
            <w:r w:rsidRPr="00F001B2">
              <w:rPr>
                <w:rFonts w:eastAsia="Cambria" w:cs="Arial"/>
                <w:sz w:val="20"/>
                <w:szCs w:val="20"/>
                <w:lang w:eastAsia="en-GB"/>
              </w:rPr>
              <w:t>On receipt</w:t>
            </w:r>
          </w:p>
        </w:tc>
        <w:tc>
          <w:tcPr>
            <w:tcW w:w="4626" w:type="dxa"/>
            <w:shd w:val="clear" w:color="auto" w:fill="FBE4D5"/>
          </w:tcPr>
          <w:p w14:paraId="6B817966" w14:textId="77777777" w:rsidR="005036CD" w:rsidRPr="00F001B2" w:rsidRDefault="00E657F5" w:rsidP="008556F2">
            <w:pPr>
              <w:jc w:val="center"/>
              <w:rPr>
                <w:rFonts w:eastAsia="Cambria" w:cs="Arial"/>
                <w:sz w:val="20"/>
                <w:szCs w:val="20"/>
                <w:lang w:eastAsia="en-GB"/>
              </w:rPr>
            </w:pPr>
            <w:r w:rsidRPr="00F001B2">
              <w:rPr>
                <w:rFonts w:eastAsia="Cambria" w:cs="Arial"/>
                <w:sz w:val="20"/>
                <w:szCs w:val="20"/>
                <w:lang w:eastAsia="en-GB"/>
              </w:rPr>
              <w:t>Supplier data</w:t>
            </w:r>
          </w:p>
        </w:tc>
      </w:tr>
      <w:tr w:rsidR="00B933CA" w14:paraId="0352674A" w14:textId="77777777" w:rsidTr="002F2B15">
        <w:tc>
          <w:tcPr>
            <w:tcW w:w="3005" w:type="dxa"/>
            <w:shd w:val="clear" w:color="auto" w:fill="B4C6E7"/>
          </w:tcPr>
          <w:p w14:paraId="6DA3368C" w14:textId="77777777" w:rsidR="005036CD" w:rsidRPr="00810BA6" w:rsidRDefault="00E657F5" w:rsidP="00455EF9">
            <w:pPr>
              <w:rPr>
                <w:rFonts w:eastAsia="Cambria" w:cs="Arial"/>
                <w:b/>
                <w:bCs/>
                <w:sz w:val="20"/>
                <w:szCs w:val="20"/>
                <w:lang w:eastAsia="en-GB"/>
              </w:rPr>
            </w:pPr>
            <w:r w:rsidRPr="00810BA6">
              <w:rPr>
                <w:rFonts w:eastAsia="Cambria" w:cs="Arial"/>
                <w:b/>
                <w:bCs/>
                <w:sz w:val="20"/>
                <w:szCs w:val="20"/>
                <w:lang w:eastAsia="en-GB"/>
              </w:rPr>
              <w:t>Combined grading of mixture</w:t>
            </w:r>
          </w:p>
        </w:tc>
        <w:tc>
          <w:tcPr>
            <w:tcW w:w="1385" w:type="dxa"/>
            <w:shd w:val="clear" w:color="auto" w:fill="FBE4D5"/>
          </w:tcPr>
          <w:p w14:paraId="29709431" w14:textId="77777777" w:rsidR="005036CD" w:rsidRPr="00F001B2" w:rsidRDefault="00E657F5" w:rsidP="008556F2">
            <w:pPr>
              <w:jc w:val="center"/>
              <w:rPr>
                <w:rFonts w:eastAsia="Cambria" w:cs="Arial"/>
                <w:sz w:val="20"/>
                <w:szCs w:val="20"/>
                <w:lang w:eastAsia="en-GB"/>
              </w:rPr>
            </w:pPr>
            <w:r w:rsidRPr="00F001B2">
              <w:rPr>
                <w:rFonts w:eastAsia="Cambria" w:cs="Arial"/>
                <w:sz w:val="20"/>
                <w:szCs w:val="20"/>
                <w:lang w:eastAsia="en-GB"/>
              </w:rPr>
              <w:t>Continual</w:t>
            </w:r>
          </w:p>
        </w:tc>
        <w:tc>
          <w:tcPr>
            <w:tcW w:w="4626" w:type="dxa"/>
            <w:shd w:val="clear" w:color="auto" w:fill="FBE4D5"/>
          </w:tcPr>
          <w:p w14:paraId="5EF1F50A" w14:textId="77777777" w:rsidR="005036CD" w:rsidRPr="00F001B2" w:rsidRDefault="00E657F5" w:rsidP="008556F2">
            <w:pPr>
              <w:jc w:val="center"/>
              <w:rPr>
                <w:rFonts w:eastAsia="Cambria" w:cs="Arial"/>
                <w:sz w:val="20"/>
                <w:szCs w:val="20"/>
                <w:lang w:eastAsia="en-GB"/>
              </w:rPr>
            </w:pPr>
            <w:r w:rsidRPr="00F001B2">
              <w:rPr>
                <w:rFonts w:eastAsia="Cambria" w:cs="Arial"/>
                <w:sz w:val="20"/>
                <w:szCs w:val="20"/>
                <w:lang w:eastAsia="en-GB"/>
              </w:rPr>
              <w:t>Daily</w:t>
            </w:r>
          </w:p>
        </w:tc>
      </w:tr>
      <w:tr w:rsidR="00B933CA" w14:paraId="4D78D2DE" w14:textId="77777777" w:rsidTr="002F2B15">
        <w:tc>
          <w:tcPr>
            <w:tcW w:w="3005" w:type="dxa"/>
            <w:shd w:val="clear" w:color="auto" w:fill="B4C6E7"/>
          </w:tcPr>
          <w:p w14:paraId="0B512F85" w14:textId="77777777" w:rsidR="005036CD" w:rsidRPr="00810BA6" w:rsidRDefault="00E657F5" w:rsidP="00455EF9">
            <w:pPr>
              <w:rPr>
                <w:rFonts w:eastAsia="Cambria" w:cs="Arial"/>
                <w:b/>
                <w:bCs/>
                <w:sz w:val="20"/>
                <w:szCs w:val="20"/>
                <w:lang w:eastAsia="en-GB"/>
              </w:rPr>
            </w:pPr>
            <w:r w:rsidRPr="00810BA6">
              <w:rPr>
                <w:rFonts w:eastAsia="Cambria" w:cs="Arial"/>
                <w:b/>
                <w:bCs/>
                <w:sz w:val="20"/>
                <w:szCs w:val="20"/>
                <w:lang w:eastAsia="en-GB"/>
              </w:rPr>
              <w:t>Moisture content of mixture</w:t>
            </w:r>
          </w:p>
        </w:tc>
        <w:tc>
          <w:tcPr>
            <w:tcW w:w="1385" w:type="dxa"/>
            <w:shd w:val="clear" w:color="auto" w:fill="FBE4D5"/>
          </w:tcPr>
          <w:p w14:paraId="4498A62F" w14:textId="77777777" w:rsidR="005036CD" w:rsidRPr="00F001B2" w:rsidRDefault="00E657F5" w:rsidP="008556F2">
            <w:pPr>
              <w:jc w:val="center"/>
              <w:rPr>
                <w:rFonts w:eastAsia="Cambria" w:cs="Arial"/>
                <w:sz w:val="20"/>
                <w:szCs w:val="20"/>
                <w:lang w:eastAsia="en-GB"/>
              </w:rPr>
            </w:pPr>
            <w:r w:rsidRPr="00F001B2">
              <w:rPr>
                <w:rFonts w:eastAsia="Cambria" w:cs="Arial"/>
                <w:sz w:val="20"/>
                <w:szCs w:val="20"/>
                <w:lang w:eastAsia="en-GB"/>
              </w:rPr>
              <w:t>Continual</w:t>
            </w:r>
          </w:p>
        </w:tc>
        <w:tc>
          <w:tcPr>
            <w:tcW w:w="4626" w:type="dxa"/>
            <w:shd w:val="clear" w:color="auto" w:fill="FBE4D5"/>
          </w:tcPr>
          <w:p w14:paraId="2F2C31A2" w14:textId="77777777" w:rsidR="005036CD" w:rsidRPr="00F001B2" w:rsidRDefault="00E657F5" w:rsidP="008556F2">
            <w:pPr>
              <w:jc w:val="center"/>
              <w:rPr>
                <w:rFonts w:eastAsia="Cambria" w:cs="Arial"/>
                <w:sz w:val="20"/>
                <w:szCs w:val="20"/>
                <w:lang w:eastAsia="en-GB"/>
              </w:rPr>
            </w:pPr>
            <w:r w:rsidRPr="00F001B2">
              <w:rPr>
                <w:rFonts w:eastAsia="Cambria" w:cs="Arial"/>
                <w:sz w:val="20"/>
                <w:szCs w:val="20"/>
                <w:lang w:eastAsia="en-GB"/>
              </w:rPr>
              <w:t>Daily</w:t>
            </w:r>
          </w:p>
        </w:tc>
      </w:tr>
    </w:tbl>
    <w:p w14:paraId="2F3E5F46" w14:textId="77777777" w:rsidR="005036CD" w:rsidRPr="00133827" w:rsidRDefault="00E657F5" w:rsidP="00AA6591">
      <w:pPr>
        <w:pStyle w:val="Caption"/>
        <w:jc w:val="center"/>
      </w:pPr>
      <w:bookmarkStart w:id="65" w:name="_Toc119569298"/>
      <w:bookmarkStart w:id="66" w:name="_Toc120010318"/>
      <w:r>
        <w:t xml:space="preserve">Table </w:t>
      </w:r>
      <w:r w:rsidR="00737389">
        <w:fldChar w:fldCharType="begin"/>
      </w:r>
      <w:r>
        <w:instrText xml:space="preserve"> SEQ Table \* ARABIC </w:instrText>
      </w:r>
      <w:r w:rsidR="00737389">
        <w:fldChar w:fldCharType="separate"/>
      </w:r>
      <w:r w:rsidR="00737389">
        <w:rPr>
          <w:noProof/>
        </w:rPr>
        <w:t>11</w:t>
      </w:r>
      <w:r w:rsidR="00737389">
        <w:rPr>
          <w:noProof/>
        </w:rPr>
        <w:fldChar w:fldCharType="end"/>
      </w:r>
      <w:r>
        <w:t xml:space="preserve"> - </w:t>
      </w:r>
      <w:r w:rsidRPr="00AC4F4E">
        <w:t>Minimum Frequencies for Inspection and Test during production of CRBM, CBGM and HBM</w:t>
      </w:r>
      <w:bookmarkEnd w:id="65"/>
      <w:bookmarkEnd w:id="66"/>
    </w:p>
    <w:p w14:paraId="06D9C4FE" w14:textId="77777777" w:rsidR="005036CD" w:rsidRPr="00DB58FD" w:rsidRDefault="00E657F5" w:rsidP="005036CD">
      <w:pPr>
        <w:rPr>
          <w:b/>
          <w:bCs/>
        </w:rPr>
      </w:pPr>
      <w:r w:rsidRPr="00DB58FD">
        <w:rPr>
          <w:b/>
          <w:bCs/>
        </w:rPr>
        <w:t>Compaction Testing</w:t>
      </w:r>
    </w:p>
    <w:p w14:paraId="6B66FF77" w14:textId="77777777" w:rsidR="005036CD" w:rsidRDefault="00E657F5" w:rsidP="005036CD">
      <w:r>
        <w:t>After trimming and final compaction, the in-situ bulk density shall be measured using a nuclear density gauge in direct transmission mode, to a depth of 25mm of the layer thickness. The meter readings shall be verified periodically in accordance with BS EN 13286-2.</w:t>
      </w:r>
    </w:p>
    <w:p w14:paraId="69636519" w14:textId="77777777" w:rsidR="005036CD" w:rsidRDefault="00E657F5" w:rsidP="005036CD">
      <w:r>
        <w:t xml:space="preserve">The in-situ bulk density values obtained shall be compared with the refusal density value of the job standard mixture or of the refusal density of a specimen representative of the day's production. The average in-situ bulk density of each set of five values shall be at least 95% </w:t>
      </w:r>
      <w:r w:rsidR="00347E7D">
        <w:t>o</w:t>
      </w:r>
      <w:r>
        <w:t>f the refusal density, with no individual in-situ density value being less than 93% of the respective refusal density.</w:t>
      </w:r>
    </w:p>
    <w:p w14:paraId="252A6D70" w14:textId="77777777" w:rsidR="005036CD" w:rsidRDefault="00E657F5" w:rsidP="005036CD">
      <w:r>
        <w:t xml:space="preserve">Representative samples of the </w:t>
      </w:r>
      <w:r w:rsidR="002A1FB8">
        <w:t>material</w:t>
      </w:r>
      <w:r>
        <w:t xml:space="preserve"> shall be taken either at the mixing plant or from site. 150mm diameter cylindrical test specimens shall be manufactured in sets of six by compacting to refusal in accordance with BS 598 Part 104. The specimens shall be 150mm diameter, 75mm height for bitumen bound materials and 150mm height for </w:t>
      </w:r>
      <w:r w:rsidR="008224EB">
        <w:t xml:space="preserve">cement and </w:t>
      </w:r>
      <w:r>
        <w:t>hydraulically bound m</w:t>
      </w:r>
      <w:r w:rsidR="009A194C">
        <w:t>ixtures</w:t>
      </w:r>
      <w:r>
        <w:t xml:space="preserve"> and compaction must be completed within 2 hours of mixing.</w:t>
      </w:r>
    </w:p>
    <w:p w14:paraId="67B5371B" w14:textId="77777777" w:rsidR="005036CD" w:rsidRPr="00133827" w:rsidRDefault="00E657F5" w:rsidP="005036CD">
      <w:pPr>
        <w:rPr>
          <w:b/>
          <w:bCs/>
        </w:rPr>
      </w:pPr>
      <w:r w:rsidRPr="00133827">
        <w:rPr>
          <w:b/>
          <w:bCs/>
        </w:rPr>
        <w:t>End Product Testing</w:t>
      </w:r>
    </w:p>
    <w:p w14:paraId="2E0FE359" w14:textId="77777777" w:rsidR="005036CD" w:rsidRDefault="00E657F5" w:rsidP="005036CD">
      <w:r>
        <w:t>Sampling shall be taken at a rate of three specimen samples per 1000 tonnes, with a minimum of 3 per day.</w:t>
      </w:r>
    </w:p>
    <w:p w14:paraId="32918D52" w14:textId="77777777" w:rsidR="005036CD" w:rsidRDefault="00E657F5" w:rsidP="005036CD">
      <w:r>
        <w:t xml:space="preserve">A minimum of 40kg to be collected per specimen sample, subsequently </w:t>
      </w:r>
      <w:r w:rsidR="0085646E">
        <w:t xml:space="preserve">four </w:t>
      </w:r>
      <w:r>
        <w:t>test samples are required to be produced:</w:t>
      </w:r>
    </w:p>
    <w:p w14:paraId="14E76147" w14:textId="77777777" w:rsidR="00796CD1" w:rsidRDefault="00E657F5" w:rsidP="00796CD1">
      <w:pPr>
        <w:pStyle w:val="Bullet"/>
      </w:pPr>
      <w:r>
        <w:t>PRD</w:t>
      </w:r>
      <w:r w:rsidR="00386AE8">
        <w:t>,</w:t>
      </w:r>
    </w:p>
    <w:p w14:paraId="0B8B9625" w14:textId="77777777" w:rsidR="00796CD1" w:rsidRDefault="00E657F5" w:rsidP="00796CD1">
      <w:pPr>
        <w:pStyle w:val="Bullet"/>
      </w:pPr>
      <w:r>
        <w:t>Cylindrical</w:t>
      </w:r>
      <w:r w:rsidR="00386AE8">
        <w:t>,</w:t>
      </w:r>
      <w:r>
        <w:t xml:space="preserve"> </w:t>
      </w:r>
    </w:p>
    <w:p w14:paraId="050BC982" w14:textId="77777777" w:rsidR="00796CD1" w:rsidRDefault="00E657F5" w:rsidP="005036CD">
      <w:pPr>
        <w:pStyle w:val="Bullet"/>
      </w:pPr>
      <w:r>
        <w:t>Moisture Content, and an</w:t>
      </w:r>
    </w:p>
    <w:p w14:paraId="303E3F51" w14:textId="77777777" w:rsidR="005036CD" w:rsidRDefault="00E657F5" w:rsidP="005036CD">
      <w:pPr>
        <w:pStyle w:val="Bullet"/>
      </w:pPr>
      <w:r>
        <w:t>Additional three PSD tests from a bulk sample of six individual samples.</w:t>
      </w:r>
    </w:p>
    <w:p w14:paraId="5F0FDE04" w14:textId="77777777" w:rsidR="005036CD" w:rsidRDefault="00E657F5" w:rsidP="005036CD">
      <w:pPr>
        <w:rPr>
          <w:b/>
          <w:bCs/>
        </w:rPr>
      </w:pPr>
      <w:r w:rsidRPr="00C70A9A">
        <w:rPr>
          <w:b/>
          <w:bCs/>
        </w:rPr>
        <w:t>End Product Criteria</w:t>
      </w:r>
    </w:p>
    <w:p w14:paraId="7EC52640" w14:textId="77777777" w:rsidR="00AA6591" w:rsidRPr="00AA6591" w:rsidRDefault="00E657F5" w:rsidP="005036CD">
      <w:r>
        <w:t>The produced CRBM, CBGM and HBM shall be meet the following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230"/>
        <w:gridCol w:w="1350"/>
        <w:gridCol w:w="1582"/>
      </w:tblGrid>
      <w:tr w:rsidR="00B933CA" w14:paraId="2C45F687" w14:textId="77777777" w:rsidTr="00F638A4">
        <w:tc>
          <w:tcPr>
            <w:tcW w:w="3256" w:type="dxa"/>
            <w:shd w:val="clear" w:color="auto" w:fill="B4C6E7"/>
          </w:tcPr>
          <w:p w14:paraId="6C596D8B" w14:textId="77777777" w:rsidR="005036CD" w:rsidRPr="00FA2B33" w:rsidRDefault="00E657F5" w:rsidP="00455EF9">
            <w:pPr>
              <w:rPr>
                <w:b/>
                <w:bCs/>
                <w:sz w:val="20"/>
                <w:szCs w:val="20"/>
              </w:rPr>
            </w:pPr>
            <w:r w:rsidRPr="00FA2B33">
              <w:rPr>
                <w:b/>
                <w:bCs/>
                <w:sz w:val="20"/>
                <w:szCs w:val="20"/>
              </w:rPr>
              <w:t>Material property of characteristic</w:t>
            </w:r>
          </w:p>
        </w:tc>
        <w:tc>
          <w:tcPr>
            <w:tcW w:w="3827" w:type="dxa"/>
            <w:tcBorders>
              <w:bottom w:val="single" w:sz="4" w:space="0" w:color="auto"/>
            </w:tcBorders>
            <w:shd w:val="clear" w:color="auto" w:fill="B4C6E7"/>
          </w:tcPr>
          <w:p w14:paraId="3DCC56EC" w14:textId="77777777" w:rsidR="005036CD" w:rsidRPr="00FA2B33" w:rsidRDefault="00E657F5" w:rsidP="00455EF9">
            <w:pPr>
              <w:rPr>
                <w:b/>
                <w:bCs/>
                <w:sz w:val="20"/>
                <w:szCs w:val="20"/>
              </w:rPr>
            </w:pPr>
            <w:r w:rsidRPr="00FA2B33">
              <w:rPr>
                <w:b/>
                <w:bCs/>
                <w:sz w:val="20"/>
                <w:szCs w:val="20"/>
              </w:rPr>
              <w:t>Individual results</w:t>
            </w:r>
          </w:p>
        </w:tc>
        <w:tc>
          <w:tcPr>
            <w:tcW w:w="1927" w:type="dxa"/>
            <w:gridSpan w:val="2"/>
            <w:tcBorders>
              <w:bottom w:val="single" w:sz="4" w:space="0" w:color="auto"/>
            </w:tcBorders>
            <w:shd w:val="clear" w:color="auto" w:fill="B4C6E7"/>
          </w:tcPr>
          <w:p w14:paraId="632F6516" w14:textId="77777777" w:rsidR="005036CD" w:rsidRPr="00FA2B33" w:rsidRDefault="00E657F5" w:rsidP="00455EF9">
            <w:pPr>
              <w:rPr>
                <w:b/>
                <w:bCs/>
                <w:sz w:val="20"/>
                <w:szCs w:val="20"/>
              </w:rPr>
            </w:pPr>
            <w:r w:rsidRPr="00FA2B33">
              <w:rPr>
                <w:b/>
                <w:bCs/>
                <w:sz w:val="20"/>
                <w:szCs w:val="20"/>
              </w:rPr>
              <w:t>Mean from test set of six specimens</w:t>
            </w:r>
          </w:p>
        </w:tc>
      </w:tr>
      <w:tr w:rsidR="00B933CA" w14:paraId="75249461" w14:textId="77777777" w:rsidTr="00F638A4">
        <w:tc>
          <w:tcPr>
            <w:tcW w:w="3256" w:type="dxa"/>
            <w:shd w:val="clear" w:color="auto" w:fill="B4C6E7"/>
          </w:tcPr>
          <w:p w14:paraId="130F6459" w14:textId="77777777" w:rsidR="005036CD" w:rsidRPr="00810BA6" w:rsidRDefault="00E657F5" w:rsidP="00455EF9">
            <w:pPr>
              <w:rPr>
                <w:b/>
                <w:bCs/>
                <w:sz w:val="20"/>
                <w:szCs w:val="20"/>
              </w:rPr>
            </w:pPr>
            <w:r w:rsidRPr="00810BA6">
              <w:rPr>
                <w:b/>
                <w:bCs/>
                <w:sz w:val="20"/>
                <w:szCs w:val="20"/>
              </w:rPr>
              <w:t>Particle Size Distribution</w:t>
            </w:r>
          </w:p>
        </w:tc>
        <w:tc>
          <w:tcPr>
            <w:tcW w:w="3827" w:type="dxa"/>
            <w:shd w:val="clear" w:color="auto" w:fill="FBE4D5"/>
          </w:tcPr>
          <w:p w14:paraId="508972DD" w14:textId="77777777" w:rsidR="005036CD" w:rsidRDefault="00E657F5" w:rsidP="00455EF9">
            <w:pPr>
              <w:rPr>
                <w:sz w:val="20"/>
                <w:szCs w:val="20"/>
              </w:rPr>
            </w:pPr>
            <w:r>
              <w:rPr>
                <w:sz w:val="20"/>
                <w:szCs w:val="20"/>
              </w:rPr>
              <w:t xml:space="preserve">TRL 611 </w:t>
            </w:r>
            <w:r w:rsidRPr="00FA2B33">
              <w:rPr>
                <w:sz w:val="20"/>
                <w:szCs w:val="20"/>
              </w:rPr>
              <w:t>Zone</w:t>
            </w:r>
            <w:r w:rsidR="008471B1">
              <w:rPr>
                <w:sz w:val="20"/>
                <w:szCs w:val="20"/>
              </w:rPr>
              <w:t xml:space="preserve"> A for C</w:t>
            </w:r>
            <w:r w:rsidR="00BB5647">
              <w:rPr>
                <w:sz w:val="20"/>
                <w:szCs w:val="20"/>
              </w:rPr>
              <w:t>RBM</w:t>
            </w:r>
          </w:p>
          <w:p w14:paraId="44085B88" w14:textId="77777777" w:rsidR="008471B1" w:rsidRDefault="00E657F5" w:rsidP="00455EF9">
            <w:pPr>
              <w:rPr>
                <w:sz w:val="20"/>
                <w:szCs w:val="20"/>
              </w:rPr>
            </w:pPr>
            <w:r w:rsidRPr="00BB5647">
              <w:rPr>
                <w:sz w:val="20"/>
                <w:szCs w:val="20"/>
              </w:rPr>
              <w:t>BS</w:t>
            </w:r>
            <w:r w:rsidR="006D4EEC">
              <w:rPr>
                <w:sz w:val="20"/>
                <w:szCs w:val="20"/>
              </w:rPr>
              <w:t xml:space="preserve"> </w:t>
            </w:r>
            <w:r w:rsidRPr="00BB5647">
              <w:rPr>
                <w:sz w:val="20"/>
                <w:szCs w:val="20"/>
              </w:rPr>
              <w:t>14227-1 figure 3, grading envelopes for cement bound granular mixture 1 – 0/14 (maximum category G1)</w:t>
            </w:r>
            <w:r>
              <w:rPr>
                <w:sz w:val="20"/>
                <w:szCs w:val="20"/>
              </w:rPr>
              <w:t xml:space="preserve"> for </w:t>
            </w:r>
            <w:r w:rsidR="00773BFD">
              <w:rPr>
                <w:sz w:val="20"/>
                <w:szCs w:val="20"/>
              </w:rPr>
              <w:t>CBGM C</w:t>
            </w:r>
            <w:r w:rsidR="00773BFD" w:rsidRPr="00773BFD">
              <w:rPr>
                <w:sz w:val="20"/>
                <w:szCs w:val="20"/>
                <w:vertAlign w:val="subscript"/>
              </w:rPr>
              <w:t>5/6</w:t>
            </w:r>
            <w:r w:rsidR="00773BFD">
              <w:rPr>
                <w:sz w:val="20"/>
                <w:szCs w:val="20"/>
              </w:rPr>
              <w:t xml:space="preserve"> and above and </w:t>
            </w:r>
            <w:r>
              <w:rPr>
                <w:sz w:val="20"/>
                <w:szCs w:val="20"/>
              </w:rPr>
              <w:t>HBM</w:t>
            </w:r>
            <w:r w:rsidR="00773BFD">
              <w:rPr>
                <w:sz w:val="20"/>
                <w:szCs w:val="20"/>
              </w:rPr>
              <w:t>.</w:t>
            </w:r>
          </w:p>
          <w:p w14:paraId="0FAC42AE" w14:textId="77777777" w:rsidR="0034141C" w:rsidRPr="00FA2B33" w:rsidRDefault="00E657F5" w:rsidP="00455EF9">
            <w:pPr>
              <w:rPr>
                <w:sz w:val="20"/>
                <w:szCs w:val="20"/>
              </w:rPr>
            </w:pPr>
            <w:r w:rsidRPr="00EE7FC4">
              <w:rPr>
                <w:sz w:val="20"/>
                <w:szCs w:val="20"/>
              </w:rPr>
              <w:t>CBGM C</w:t>
            </w:r>
            <w:r w:rsidRPr="00C506BB">
              <w:rPr>
                <w:sz w:val="20"/>
                <w:szCs w:val="20"/>
                <w:vertAlign w:val="subscript"/>
              </w:rPr>
              <w:t>3/4</w:t>
            </w:r>
            <w:r w:rsidRPr="00EE7FC4">
              <w:rPr>
                <w:sz w:val="20"/>
                <w:szCs w:val="20"/>
              </w:rPr>
              <w:t xml:space="preserve"> shall comply with BS</w:t>
            </w:r>
            <w:r w:rsidR="006D4EEC">
              <w:rPr>
                <w:sz w:val="20"/>
                <w:szCs w:val="20"/>
              </w:rPr>
              <w:t xml:space="preserve"> </w:t>
            </w:r>
            <w:r w:rsidRPr="00EE7FC4">
              <w:rPr>
                <w:sz w:val="20"/>
                <w:szCs w:val="20"/>
              </w:rPr>
              <w:t>14227-1 table 3</w:t>
            </w:r>
            <w:r w:rsidR="00D3010D">
              <w:rPr>
                <w:sz w:val="20"/>
                <w:szCs w:val="20"/>
              </w:rPr>
              <w:t xml:space="preserve"> or </w:t>
            </w:r>
            <w:r w:rsidR="00D3010D" w:rsidRPr="00D3010D">
              <w:rPr>
                <w:sz w:val="20"/>
                <w:szCs w:val="20"/>
              </w:rPr>
              <w:t>Zone A of table A1.1 of TRL611</w:t>
            </w:r>
            <w:r w:rsidR="00D3010D">
              <w:rPr>
                <w:sz w:val="20"/>
                <w:szCs w:val="20"/>
              </w:rPr>
              <w:t>.</w:t>
            </w:r>
          </w:p>
        </w:tc>
        <w:tc>
          <w:tcPr>
            <w:tcW w:w="1927" w:type="dxa"/>
            <w:gridSpan w:val="2"/>
            <w:shd w:val="clear" w:color="auto" w:fill="FBE4D5"/>
          </w:tcPr>
          <w:p w14:paraId="5E86D19E" w14:textId="77777777" w:rsidR="005036CD" w:rsidRPr="00FA2B33" w:rsidRDefault="00E657F5" w:rsidP="00455EF9">
            <w:pPr>
              <w:rPr>
                <w:sz w:val="20"/>
                <w:szCs w:val="20"/>
              </w:rPr>
            </w:pPr>
            <w:r w:rsidRPr="00FA2B33">
              <w:rPr>
                <w:sz w:val="20"/>
                <w:szCs w:val="20"/>
              </w:rPr>
              <w:t>-</w:t>
            </w:r>
          </w:p>
        </w:tc>
      </w:tr>
      <w:tr w:rsidR="00B933CA" w14:paraId="55CB12D6" w14:textId="77777777" w:rsidTr="00F638A4">
        <w:tc>
          <w:tcPr>
            <w:tcW w:w="3256" w:type="dxa"/>
            <w:shd w:val="clear" w:color="auto" w:fill="B4C6E7"/>
          </w:tcPr>
          <w:p w14:paraId="175D425B" w14:textId="77777777" w:rsidR="005036CD" w:rsidRPr="00810BA6" w:rsidRDefault="00E657F5" w:rsidP="00455EF9">
            <w:pPr>
              <w:rPr>
                <w:b/>
                <w:bCs/>
                <w:sz w:val="20"/>
                <w:szCs w:val="20"/>
              </w:rPr>
            </w:pPr>
            <w:r w:rsidRPr="00810BA6">
              <w:rPr>
                <w:b/>
                <w:bCs/>
                <w:sz w:val="20"/>
                <w:szCs w:val="20"/>
              </w:rPr>
              <w:t>Moisture content</w:t>
            </w:r>
          </w:p>
        </w:tc>
        <w:tc>
          <w:tcPr>
            <w:tcW w:w="3827" w:type="dxa"/>
            <w:shd w:val="clear" w:color="auto" w:fill="FBE4D5"/>
          </w:tcPr>
          <w:p w14:paraId="6FC74CEF" w14:textId="77777777" w:rsidR="005036CD" w:rsidRPr="00FA2B33" w:rsidRDefault="00E657F5" w:rsidP="00455EF9">
            <w:pPr>
              <w:rPr>
                <w:sz w:val="20"/>
                <w:szCs w:val="20"/>
              </w:rPr>
            </w:pPr>
            <w:r w:rsidRPr="00FA2B33">
              <w:rPr>
                <w:rFonts w:cs="Calibri"/>
                <w:sz w:val="20"/>
                <w:szCs w:val="20"/>
              </w:rPr>
              <w:t>±</w:t>
            </w:r>
            <w:r w:rsidRPr="00FA2B33">
              <w:rPr>
                <w:sz w:val="20"/>
                <w:szCs w:val="20"/>
              </w:rPr>
              <w:t>2%</w:t>
            </w:r>
          </w:p>
        </w:tc>
        <w:tc>
          <w:tcPr>
            <w:tcW w:w="1927" w:type="dxa"/>
            <w:gridSpan w:val="2"/>
            <w:shd w:val="clear" w:color="auto" w:fill="FBE4D5"/>
          </w:tcPr>
          <w:p w14:paraId="4BDF6FA6" w14:textId="77777777" w:rsidR="005036CD" w:rsidRPr="00FA2B33" w:rsidRDefault="00E657F5" w:rsidP="00455EF9">
            <w:pPr>
              <w:rPr>
                <w:sz w:val="20"/>
                <w:szCs w:val="20"/>
              </w:rPr>
            </w:pPr>
            <w:r w:rsidRPr="00FA2B33">
              <w:rPr>
                <w:sz w:val="20"/>
                <w:szCs w:val="20"/>
              </w:rPr>
              <w:t>-</w:t>
            </w:r>
          </w:p>
        </w:tc>
      </w:tr>
      <w:tr w:rsidR="00B933CA" w14:paraId="0443DCF4" w14:textId="77777777" w:rsidTr="00F638A4">
        <w:tc>
          <w:tcPr>
            <w:tcW w:w="3256" w:type="dxa"/>
            <w:shd w:val="clear" w:color="auto" w:fill="B4C6E7"/>
          </w:tcPr>
          <w:p w14:paraId="6A9E8C48" w14:textId="77777777" w:rsidR="005036CD" w:rsidRPr="00810BA6" w:rsidRDefault="00E657F5" w:rsidP="00455EF9">
            <w:pPr>
              <w:rPr>
                <w:b/>
                <w:bCs/>
                <w:sz w:val="20"/>
                <w:szCs w:val="20"/>
              </w:rPr>
            </w:pPr>
            <w:r w:rsidRPr="00810BA6">
              <w:rPr>
                <w:b/>
                <w:bCs/>
                <w:sz w:val="20"/>
                <w:szCs w:val="20"/>
              </w:rPr>
              <w:t>Relative In situ density</w:t>
            </w:r>
          </w:p>
        </w:tc>
        <w:tc>
          <w:tcPr>
            <w:tcW w:w="3827" w:type="dxa"/>
            <w:shd w:val="clear" w:color="auto" w:fill="FBE4D5"/>
          </w:tcPr>
          <w:p w14:paraId="5F789F9D" w14:textId="77777777" w:rsidR="005036CD" w:rsidRPr="00FA2B33" w:rsidRDefault="00E657F5" w:rsidP="00455EF9">
            <w:pPr>
              <w:rPr>
                <w:sz w:val="20"/>
                <w:szCs w:val="20"/>
              </w:rPr>
            </w:pPr>
            <w:r w:rsidRPr="00FA2B33">
              <w:rPr>
                <w:sz w:val="20"/>
                <w:szCs w:val="20"/>
              </w:rPr>
              <w:t>93% minimum</w:t>
            </w:r>
          </w:p>
        </w:tc>
        <w:tc>
          <w:tcPr>
            <w:tcW w:w="1927" w:type="dxa"/>
            <w:gridSpan w:val="2"/>
            <w:shd w:val="clear" w:color="auto" w:fill="FBE4D5"/>
          </w:tcPr>
          <w:p w14:paraId="319034BC" w14:textId="77777777" w:rsidR="005036CD" w:rsidRPr="00FA2B33" w:rsidRDefault="00E657F5" w:rsidP="00455EF9">
            <w:pPr>
              <w:rPr>
                <w:sz w:val="20"/>
                <w:szCs w:val="20"/>
              </w:rPr>
            </w:pPr>
            <w:r w:rsidRPr="00FA2B33">
              <w:rPr>
                <w:sz w:val="20"/>
                <w:szCs w:val="20"/>
              </w:rPr>
              <w:t>95% minimum</w:t>
            </w:r>
          </w:p>
        </w:tc>
      </w:tr>
      <w:tr w:rsidR="00B933CA" w14:paraId="7E467953" w14:textId="77777777" w:rsidTr="00F638A4">
        <w:tc>
          <w:tcPr>
            <w:tcW w:w="3256" w:type="dxa"/>
            <w:tcBorders>
              <w:bottom w:val="single" w:sz="4" w:space="0" w:color="auto"/>
            </w:tcBorders>
            <w:shd w:val="clear" w:color="auto" w:fill="B4C6E7"/>
          </w:tcPr>
          <w:p w14:paraId="3A802926" w14:textId="77777777" w:rsidR="005036CD" w:rsidRPr="00810BA6" w:rsidRDefault="00E657F5" w:rsidP="00455EF9">
            <w:pPr>
              <w:rPr>
                <w:b/>
                <w:bCs/>
                <w:sz w:val="20"/>
                <w:szCs w:val="20"/>
              </w:rPr>
            </w:pPr>
            <w:r w:rsidRPr="00810BA6">
              <w:rPr>
                <w:b/>
                <w:bCs/>
                <w:sz w:val="20"/>
                <w:szCs w:val="20"/>
              </w:rPr>
              <w:t>Layer thickness</w:t>
            </w:r>
          </w:p>
        </w:tc>
        <w:tc>
          <w:tcPr>
            <w:tcW w:w="3827" w:type="dxa"/>
            <w:shd w:val="clear" w:color="auto" w:fill="FBE4D5"/>
          </w:tcPr>
          <w:p w14:paraId="61B76C99" w14:textId="77777777" w:rsidR="005036CD" w:rsidRPr="00FA2B33" w:rsidRDefault="00E657F5" w:rsidP="00455EF9">
            <w:pPr>
              <w:rPr>
                <w:sz w:val="20"/>
                <w:szCs w:val="20"/>
              </w:rPr>
            </w:pPr>
            <w:r w:rsidRPr="00FA2B33">
              <w:rPr>
                <w:rFonts w:cs="Calibri"/>
                <w:sz w:val="20"/>
                <w:szCs w:val="20"/>
              </w:rPr>
              <w:t>±</w:t>
            </w:r>
            <w:r w:rsidRPr="00FA2B33">
              <w:rPr>
                <w:sz w:val="20"/>
                <w:szCs w:val="20"/>
              </w:rPr>
              <w:t>25 mm of specified</w:t>
            </w:r>
          </w:p>
        </w:tc>
        <w:tc>
          <w:tcPr>
            <w:tcW w:w="1927" w:type="dxa"/>
            <w:gridSpan w:val="2"/>
            <w:shd w:val="clear" w:color="auto" w:fill="FBE4D5"/>
          </w:tcPr>
          <w:p w14:paraId="54CE0299" w14:textId="77777777" w:rsidR="005036CD" w:rsidRPr="00FA2B33" w:rsidRDefault="00E657F5" w:rsidP="00455EF9">
            <w:pPr>
              <w:rPr>
                <w:sz w:val="20"/>
                <w:szCs w:val="20"/>
              </w:rPr>
            </w:pPr>
            <w:r w:rsidRPr="00FA2B33">
              <w:rPr>
                <w:rFonts w:cs="Calibri"/>
                <w:sz w:val="20"/>
                <w:szCs w:val="20"/>
              </w:rPr>
              <w:t>±</w:t>
            </w:r>
            <w:r w:rsidRPr="00FA2B33">
              <w:rPr>
                <w:sz w:val="20"/>
                <w:szCs w:val="20"/>
              </w:rPr>
              <w:t>15mm of specified</w:t>
            </w:r>
          </w:p>
        </w:tc>
      </w:tr>
      <w:tr w:rsidR="00B933CA" w14:paraId="3AC65A0D" w14:textId="77777777" w:rsidTr="00F638A4">
        <w:trPr>
          <w:trHeight w:val="852"/>
        </w:trPr>
        <w:tc>
          <w:tcPr>
            <w:tcW w:w="3256" w:type="dxa"/>
            <w:tcBorders>
              <w:bottom w:val="dashed" w:sz="4" w:space="0" w:color="auto"/>
            </w:tcBorders>
            <w:shd w:val="clear" w:color="auto" w:fill="B4C6E7"/>
          </w:tcPr>
          <w:p w14:paraId="70A96BDF" w14:textId="77777777" w:rsidR="005036CD" w:rsidRPr="00810BA6" w:rsidRDefault="00E657F5" w:rsidP="00455EF9">
            <w:pPr>
              <w:rPr>
                <w:b/>
                <w:bCs/>
                <w:sz w:val="20"/>
                <w:szCs w:val="20"/>
              </w:rPr>
            </w:pPr>
            <w:r w:rsidRPr="00810BA6">
              <w:rPr>
                <w:b/>
                <w:bCs/>
                <w:sz w:val="20"/>
                <w:szCs w:val="20"/>
              </w:rPr>
              <w:t>Indirect Tensile Stiffness Modulus BS EN12697-26:2004 Annex C (Bitumen bound) or</w:t>
            </w:r>
          </w:p>
          <w:p w14:paraId="2E9C3AA1" w14:textId="77777777" w:rsidR="005036CD" w:rsidRPr="00810BA6" w:rsidRDefault="005036CD" w:rsidP="00455EF9">
            <w:pPr>
              <w:rPr>
                <w:b/>
                <w:bCs/>
                <w:sz w:val="20"/>
                <w:szCs w:val="20"/>
              </w:rPr>
            </w:pPr>
          </w:p>
        </w:tc>
        <w:tc>
          <w:tcPr>
            <w:tcW w:w="3827" w:type="dxa"/>
            <w:tcBorders>
              <w:bottom w:val="dashed" w:sz="4" w:space="0" w:color="auto"/>
            </w:tcBorders>
            <w:shd w:val="clear" w:color="auto" w:fill="FBE4D5"/>
          </w:tcPr>
          <w:p w14:paraId="3A820CA1" w14:textId="77777777" w:rsidR="005036CD" w:rsidRPr="00FA2B33" w:rsidRDefault="00E657F5" w:rsidP="00455EF9">
            <w:pPr>
              <w:rPr>
                <w:sz w:val="20"/>
                <w:szCs w:val="20"/>
              </w:rPr>
            </w:pPr>
            <w:r w:rsidRPr="00FA2B33">
              <w:rPr>
                <w:sz w:val="20"/>
                <w:szCs w:val="20"/>
              </w:rPr>
              <w:t>N/A</w:t>
            </w:r>
          </w:p>
        </w:tc>
        <w:tc>
          <w:tcPr>
            <w:tcW w:w="277" w:type="dxa"/>
            <w:tcBorders>
              <w:bottom w:val="dashed" w:sz="4" w:space="0" w:color="auto"/>
            </w:tcBorders>
            <w:shd w:val="clear" w:color="auto" w:fill="FBE4D5"/>
          </w:tcPr>
          <w:p w14:paraId="2A2B43AC" w14:textId="77777777" w:rsidR="005036CD" w:rsidRPr="00FA2B33" w:rsidRDefault="00E657F5" w:rsidP="00455EF9">
            <w:pPr>
              <w:rPr>
                <w:sz w:val="20"/>
                <w:szCs w:val="20"/>
              </w:rPr>
            </w:pPr>
            <w:r w:rsidRPr="00FA2B33">
              <w:rPr>
                <w:sz w:val="20"/>
                <w:szCs w:val="20"/>
              </w:rPr>
              <w:t>QVE</w:t>
            </w:r>
            <w:r w:rsidRPr="00FA2B33">
              <w:rPr>
                <w:sz w:val="20"/>
                <w:szCs w:val="20"/>
              </w:rPr>
              <w:br/>
              <w:t>Class B3 3100 MPa</w:t>
            </w:r>
            <w:r w:rsidRPr="00FA2B33">
              <w:rPr>
                <w:sz w:val="20"/>
                <w:szCs w:val="20"/>
              </w:rPr>
              <w:br/>
            </w:r>
          </w:p>
        </w:tc>
        <w:tc>
          <w:tcPr>
            <w:tcW w:w="1650" w:type="dxa"/>
            <w:tcBorders>
              <w:bottom w:val="dashed" w:sz="4" w:space="0" w:color="auto"/>
            </w:tcBorders>
            <w:shd w:val="clear" w:color="auto" w:fill="FBE4D5"/>
          </w:tcPr>
          <w:p w14:paraId="58CFE663" w14:textId="77777777" w:rsidR="005036CD" w:rsidRPr="00FA2B33" w:rsidRDefault="00E657F5" w:rsidP="00455EF9">
            <w:pPr>
              <w:rPr>
                <w:sz w:val="20"/>
                <w:szCs w:val="20"/>
              </w:rPr>
            </w:pPr>
            <w:r w:rsidRPr="00FA2B33">
              <w:rPr>
                <w:sz w:val="20"/>
                <w:szCs w:val="20"/>
              </w:rPr>
              <w:t>Less 5%</w:t>
            </w:r>
          </w:p>
        </w:tc>
      </w:tr>
      <w:tr w:rsidR="00B933CA" w14:paraId="00FB6B99" w14:textId="77777777" w:rsidTr="00F638A4">
        <w:trPr>
          <w:trHeight w:val="818"/>
        </w:trPr>
        <w:tc>
          <w:tcPr>
            <w:tcW w:w="3256" w:type="dxa"/>
            <w:tcBorders>
              <w:top w:val="dashed" w:sz="4" w:space="0" w:color="auto"/>
              <w:bottom w:val="dashed" w:sz="4" w:space="0" w:color="auto"/>
            </w:tcBorders>
            <w:shd w:val="clear" w:color="auto" w:fill="B4C6E7"/>
          </w:tcPr>
          <w:p w14:paraId="667988C0" w14:textId="77777777" w:rsidR="005036CD" w:rsidRPr="00810BA6" w:rsidRDefault="00E657F5" w:rsidP="00455EF9">
            <w:pPr>
              <w:rPr>
                <w:b/>
                <w:bCs/>
                <w:sz w:val="20"/>
                <w:szCs w:val="20"/>
              </w:rPr>
            </w:pPr>
            <w:r w:rsidRPr="00810BA6">
              <w:rPr>
                <w:b/>
                <w:bCs/>
                <w:sz w:val="20"/>
                <w:szCs w:val="20"/>
              </w:rPr>
              <w:t>Dynamic Modulus</w:t>
            </w:r>
          </w:p>
          <w:p w14:paraId="5F801A65" w14:textId="77777777" w:rsidR="005036CD" w:rsidRPr="00810BA6" w:rsidRDefault="00E657F5" w:rsidP="00455EF9">
            <w:pPr>
              <w:rPr>
                <w:b/>
                <w:bCs/>
                <w:sz w:val="20"/>
                <w:szCs w:val="20"/>
              </w:rPr>
            </w:pPr>
            <w:r w:rsidRPr="00810BA6">
              <w:rPr>
                <w:b/>
                <w:bCs/>
                <w:sz w:val="20"/>
                <w:szCs w:val="20"/>
              </w:rPr>
              <w:t>Flexural Strength</w:t>
            </w:r>
          </w:p>
        </w:tc>
        <w:tc>
          <w:tcPr>
            <w:tcW w:w="3827" w:type="dxa"/>
            <w:tcBorders>
              <w:top w:val="dashed" w:sz="4" w:space="0" w:color="auto"/>
              <w:bottom w:val="dashed" w:sz="4" w:space="0" w:color="auto"/>
            </w:tcBorders>
            <w:shd w:val="clear" w:color="auto" w:fill="FBE4D5"/>
          </w:tcPr>
          <w:p w14:paraId="50817D11" w14:textId="77777777" w:rsidR="005036CD" w:rsidRPr="00FA2B33" w:rsidRDefault="00E657F5" w:rsidP="00455EF9">
            <w:pPr>
              <w:rPr>
                <w:sz w:val="20"/>
                <w:szCs w:val="20"/>
              </w:rPr>
            </w:pPr>
            <w:r>
              <w:rPr>
                <w:sz w:val="20"/>
                <w:szCs w:val="20"/>
              </w:rPr>
              <w:t>N/A</w:t>
            </w:r>
          </w:p>
        </w:tc>
        <w:tc>
          <w:tcPr>
            <w:tcW w:w="277" w:type="dxa"/>
            <w:tcBorders>
              <w:top w:val="dashed" w:sz="4" w:space="0" w:color="auto"/>
              <w:bottom w:val="dashed" w:sz="4" w:space="0" w:color="auto"/>
            </w:tcBorders>
            <w:shd w:val="clear" w:color="auto" w:fill="FBE4D5"/>
          </w:tcPr>
          <w:p w14:paraId="12A7CFFE" w14:textId="77777777" w:rsidR="005036CD" w:rsidRPr="00FA2B33" w:rsidRDefault="00E657F5" w:rsidP="00455EF9">
            <w:pPr>
              <w:rPr>
                <w:sz w:val="20"/>
                <w:szCs w:val="20"/>
              </w:rPr>
            </w:pPr>
            <w:r w:rsidRPr="00FA2B33">
              <w:rPr>
                <w:sz w:val="20"/>
                <w:szCs w:val="20"/>
              </w:rPr>
              <w:t>QH/SH</w:t>
            </w:r>
            <w:r w:rsidR="00796CD1">
              <w:rPr>
                <w:sz w:val="20"/>
                <w:szCs w:val="20"/>
              </w:rPr>
              <w:t xml:space="preserve"> (H</w:t>
            </w:r>
            <w:r w:rsidR="00CE4295">
              <w:rPr>
                <w:sz w:val="20"/>
                <w:szCs w:val="20"/>
              </w:rPr>
              <w:t>1-</w:t>
            </w:r>
            <w:r w:rsidR="00796CD1">
              <w:rPr>
                <w:sz w:val="20"/>
                <w:szCs w:val="20"/>
              </w:rPr>
              <w:t>H5)</w:t>
            </w:r>
            <w:r w:rsidRPr="00FA2B33">
              <w:rPr>
                <w:sz w:val="20"/>
                <w:szCs w:val="20"/>
              </w:rPr>
              <w:t xml:space="preserve"> - Hydraulically Bound</w:t>
            </w:r>
          </w:p>
        </w:tc>
        <w:tc>
          <w:tcPr>
            <w:tcW w:w="1650" w:type="dxa"/>
            <w:tcBorders>
              <w:top w:val="dashed" w:sz="4" w:space="0" w:color="auto"/>
              <w:bottom w:val="dashed" w:sz="4" w:space="0" w:color="auto"/>
            </w:tcBorders>
            <w:shd w:val="clear" w:color="auto" w:fill="FBE4D5"/>
          </w:tcPr>
          <w:p w14:paraId="4AE2FC72" w14:textId="77777777" w:rsidR="005036CD" w:rsidRPr="00FA2B33" w:rsidRDefault="00E657F5" w:rsidP="00455EF9">
            <w:pPr>
              <w:rPr>
                <w:sz w:val="20"/>
                <w:szCs w:val="20"/>
              </w:rPr>
            </w:pPr>
            <w:r>
              <w:rPr>
                <w:sz w:val="20"/>
                <w:szCs w:val="20"/>
              </w:rPr>
              <w:t xml:space="preserve">Equal to or greater than the </w:t>
            </w:r>
            <w:r w:rsidRPr="00FA2B33">
              <w:rPr>
                <w:sz w:val="20"/>
                <w:szCs w:val="20"/>
              </w:rPr>
              <w:t xml:space="preserve">Declared Minimum Performance </w:t>
            </w:r>
            <w:r w:rsidR="00DA1BB2">
              <w:rPr>
                <w:sz w:val="20"/>
                <w:szCs w:val="20"/>
              </w:rPr>
              <w:t>C</w:t>
            </w:r>
            <w:r w:rsidRPr="00FA2B33">
              <w:rPr>
                <w:sz w:val="20"/>
                <w:szCs w:val="20"/>
              </w:rPr>
              <w:t>lass</w:t>
            </w:r>
          </w:p>
        </w:tc>
      </w:tr>
      <w:tr w:rsidR="00B933CA" w14:paraId="69F6F055" w14:textId="77777777" w:rsidTr="00F638A4">
        <w:trPr>
          <w:trHeight w:val="818"/>
        </w:trPr>
        <w:tc>
          <w:tcPr>
            <w:tcW w:w="3256" w:type="dxa"/>
            <w:tcBorders>
              <w:top w:val="dashed" w:sz="4" w:space="0" w:color="auto"/>
            </w:tcBorders>
            <w:shd w:val="clear" w:color="auto" w:fill="B4C6E7"/>
          </w:tcPr>
          <w:p w14:paraId="485B7950" w14:textId="77777777" w:rsidR="00501BC1" w:rsidRPr="005D1A79" w:rsidRDefault="00E657F5" w:rsidP="00455EF9">
            <w:pPr>
              <w:rPr>
                <w:b/>
                <w:bCs/>
                <w:sz w:val="20"/>
                <w:szCs w:val="20"/>
              </w:rPr>
            </w:pPr>
            <w:r>
              <w:rPr>
                <w:b/>
                <w:bCs/>
                <w:sz w:val="20"/>
                <w:szCs w:val="20"/>
              </w:rPr>
              <w:t xml:space="preserve">Compressive strength </w:t>
            </w:r>
            <w:r w:rsidRPr="008A0808">
              <w:rPr>
                <w:b/>
                <w:bCs/>
                <w:i/>
                <w:iCs/>
                <w:sz w:val="20"/>
                <w:szCs w:val="20"/>
              </w:rPr>
              <w:t>(R</w:t>
            </w:r>
            <w:r w:rsidRPr="008A0808">
              <w:rPr>
                <w:b/>
                <w:bCs/>
                <w:i/>
                <w:iCs/>
                <w:sz w:val="20"/>
                <w:szCs w:val="20"/>
                <w:vertAlign w:val="subscript"/>
              </w:rPr>
              <w:t>c</w:t>
            </w:r>
            <w:r w:rsidRPr="008A0808">
              <w:rPr>
                <w:b/>
                <w:bCs/>
                <w:i/>
                <w:iCs/>
                <w:sz w:val="20"/>
                <w:szCs w:val="20"/>
              </w:rPr>
              <w:t>)</w:t>
            </w:r>
          </w:p>
          <w:p w14:paraId="7849DCC2" w14:textId="77777777" w:rsidR="008A0808" w:rsidRPr="00810BA6" w:rsidRDefault="00E657F5" w:rsidP="00455EF9">
            <w:pPr>
              <w:rPr>
                <w:b/>
                <w:bCs/>
                <w:sz w:val="20"/>
                <w:szCs w:val="20"/>
              </w:rPr>
            </w:pPr>
            <w:r>
              <w:rPr>
                <w:b/>
                <w:bCs/>
                <w:sz w:val="20"/>
                <w:szCs w:val="20"/>
              </w:rPr>
              <w:t>(BS 9227:2019)</w:t>
            </w:r>
          </w:p>
        </w:tc>
        <w:tc>
          <w:tcPr>
            <w:tcW w:w="3827" w:type="dxa"/>
            <w:tcBorders>
              <w:top w:val="dashed" w:sz="4" w:space="0" w:color="auto"/>
            </w:tcBorders>
            <w:shd w:val="clear" w:color="auto" w:fill="FBE4D5"/>
          </w:tcPr>
          <w:p w14:paraId="44A6FCF5" w14:textId="77777777" w:rsidR="00501BC1" w:rsidRDefault="00E657F5" w:rsidP="00455EF9">
            <w:pPr>
              <w:rPr>
                <w:sz w:val="20"/>
                <w:szCs w:val="20"/>
              </w:rPr>
            </w:pPr>
            <w:r>
              <w:rPr>
                <w:sz w:val="20"/>
                <w:szCs w:val="20"/>
              </w:rPr>
              <w:t>No less than 67%</w:t>
            </w:r>
            <w:r w:rsidR="00FF42D8">
              <w:rPr>
                <w:sz w:val="20"/>
                <w:szCs w:val="20"/>
              </w:rPr>
              <w:t xml:space="preserve"> of minimum strength requirement</w:t>
            </w:r>
          </w:p>
        </w:tc>
        <w:tc>
          <w:tcPr>
            <w:tcW w:w="277" w:type="dxa"/>
            <w:tcBorders>
              <w:top w:val="dashed" w:sz="4" w:space="0" w:color="auto"/>
            </w:tcBorders>
            <w:shd w:val="clear" w:color="auto" w:fill="FBE4D5"/>
          </w:tcPr>
          <w:p w14:paraId="55430DDB" w14:textId="77777777" w:rsidR="00501BC1" w:rsidRPr="00FA2B33" w:rsidRDefault="00E657F5" w:rsidP="00455EF9">
            <w:pPr>
              <w:rPr>
                <w:sz w:val="20"/>
                <w:szCs w:val="20"/>
              </w:rPr>
            </w:pPr>
            <w:r>
              <w:rPr>
                <w:sz w:val="20"/>
                <w:szCs w:val="20"/>
              </w:rPr>
              <w:t xml:space="preserve">CBGM and </w:t>
            </w:r>
            <w:r w:rsidR="00FF3C4A">
              <w:rPr>
                <w:sz w:val="20"/>
                <w:szCs w:val="20"/>
              </w:rPr>
              <w:t>HBM (C</w:t>
            </w:r>
            <w:r w:rsidR="003B3F04" w:rsidRPr="00890F8B">
              <w:rPr>
                <w:sz w:val="20"/>
                <w:szCs w:val="20"/>
                <w:vertAlign w:val="subscript"/>
              </w:rPr>
              <w:t>3/4</w:t>
            </w:r>
            <w:r w:rsidR="003B3F04">
              <w:rPr>
                <w:sz w:val="20"/>
                <w:szCs w:val="20"/>
              </w:rPr>
              <w:t>, C</w:t>
            </w:r>
            <w:r w:rsidR="003B3F04" w:rsidRPr="00890F8B">
              <w:rPr>
                <w:sz w:val="20"/>
                <w:szCs w:val="20"/>
                <w:vertAlign w:val="subscript"/>
              </w:rPr>
              <w:t>5/6</w:t>
            </w:r>
            <w:r w:rsidR="003B3F04">
              <w:rPr>
                <w:sz w:val="20"/>
                <w:szCs w:val="20"/>
              </w:rPr>
              <w:t>, C</w:t>
            </w:r>
            <w:r w:rsidR="003B3F04" w:rsidRPr="00890F8B">
              <w:rPr>
                <w:sz w:val="20"/>
                <w:szCs w:val="20"/>
                <w:vertAlign w:val="subscript"/>
              </w:rPr>
              <w:t>6/8</w:t>
            </w:r>
            <w:r w:rsidR="003B3F04">
              <w:rPr>
                <w:sz w:val="20"/>
                <w:szCs w:val="20"/>
              </w:rPr>
              <w:t>, C</w:t>
            </w:r>
            <w:r w:rsidR="00FF3C4A" w:rsidRPr="00890F8B">
              <w:rPr>
                <w:sz w:val="20"/>
                <w:szCs w:val="20"/>
                <w:vertAlign w:val="subscript"/>
              </w:rPr>
              <w:t>8</w:t>
            </w:r>
            <w:r w:rsidR="003B3F04" w:rsidRPr="00890F8B">
              <w:rPr>
                <w:sz w:val="20"/>
                <w:szCs w:val="20"/>
                <w:vertAlign w:val="subscript"/>
              </w:rPr>
              <w:t>/10</w:t>
            </w:r>
            <w:r w:rsidR="003B3F04">
              <w:rPr>
                <w:sz w:val="20"/>
                <w:szCs w:val="20"/>
              </w:rPr>
              <w:t>, C</w:t>
            </w:r>
            <w:r w:rsidR="00FF3C4A" w:rsidRPr="00890F8B">
              <w:rPr>
                <w:sz w:val="20"/>
                <w:szCs w:val="20"/>
                <w:vertAlign w:val="subscript"/>
              </w:rPr>
              <w:t>9</w:t>
            </w:r>
            <w:r w:rsidR="003B3F04" w:rsidRPr="00890F8B">
              <w:rPr>
                <w:sz w:val="20"/>
                <w:szCs w:val="20"/>
                <w:vertAlign w:val="subscript"/>
              </w:rPr>
              <w:t>/12</w:t>
            </w:r>
            <w:r w:rsidR="00FF3C4A">
              <w:rPr>
                <w:sz w:val="20"/>
                <w:szCs w:val="20"/>
              </w:rPr>
              <w:t>)</w:t>
            </w:r>
          </w:p>
        </w:tc>
        <w:tc>
          <w:tcPr>
            <w:tcW w:w="1650" w:type="dxa"/>
            <w:tcBorders>
              <w:top w:val="dashed" w:sz="4" w:space="0" w:color="auto"/>
            </w:tcBorders>
            <w:shd w:val="clear" w:color="auto" w:fill="FBE4D5"/>
          </w:tcPr>
          <w:p w14:paraId="08777602" w14:textId="77777777" w:rsidR="00501BC1" w:rsidRPr="00FA2B33" w:rsidRDefault="00E657F5" w:rsidP="00455EF9">
            <w:pPr>
              <w:rPr>
                <w:sz w:val="20"/>
                <w:szCs w:val="20"/>
              </w:rPr>
            </w:pPr>
            <w:r>
              <w:rPr>
                <w:sz w:val="20"/>
                <w:szCs w:val="20"/>
              </w:rPr>
              <w:t xml:space="preserve">Equal to or greater than the Declared </w:t>
            </w:r>
            <w:r w:rsidR="008A0808" w:rsidRPr="008A0808">
              <w:rPr>
                <w:sz w:val="20"/>
                <w:szCs w:val="20"/>
              </w:rPr>
              <w:t>Laboratory mechanical performance category</w:t>
            </w:r>
          </w:p>
        </w:tc>
      </w:tr>
    </w:tbl>
    <w:p w14:paraId="416EE344" w14:textId="77777777" w:rsidR="005036CD" w:rsidRDefault="00E657F5" w:rsidP="00AA6591">
      <w:pPr>
        <w:pStyle w:val="Caption"/>
        <w:jc w:val="center"/>
        <w:rPr>
          <w:b w:val="0"/>
          <w:bCs w:val="0"/>
        </w:rPr>
      </w:pPr>
      <w:bookmarkStart w:id="67" w:name="_Toc119569299"/>
      <w:bookmarkStart w:id="68" w:name="_Toc120010319"/>
      <w:r>
        <w:t xml:space="preserve">Table </w:t>
      </w:r>
      <w:r w:rsidR="00737389">
        <w:fldChar w:fldCharType="begin"/>
      </w:r>
      <w:r>
        <w:instrText xml:space="preserve"> SEQ Table \* ARABIC </w:instrText>
      </w:r>
      <w:r w:rsidR="00737389">
        <w:fldChar w:fldCharType="separate"/>
      </w:r>
      <w:r w:rsidR="00737389">
        <w:rPr>
          <w:noProof/>
        </w:rPr>
        <w:t>12</w:t>
      </w:r>
      <w:r w:rsidR="00737389">
        <w:rPr>
          <w:noProof/>
        </w:rPr>
        <w:fldChar w:fldCharType="end"/>
      </w:r>
      <w:r>
        <w:t xml:space="preserve"> - </w:t>
      </w:r>
      <w:r w:rsidRPr="00D3397C">
        <w:t xml:space="preserve">End </w:t>
      </w:r>
      <w:r>
        <w:t>product criteria for CRBM, CBGM and HBM</w:t>
      </w:r>
      <w:bookmarkEnd w:id="67"/>
      <w:bookmarkEnd w:id="68"/>
    </w:p>
    <w:p w14:paraId="5611813E" w14:textId="77777777" w:rsidR="005036CD" w:rsidRPr="00EC793E" w:rsidRDefault="00E657F5" w:rsidP="005036CD">
      <w:pPr>
        <w:rPr>
          <w:b/>
          <w:bCs/>
        </w:rPr>
      </w:pPr>
      <w:r w:rsidRPr="00EC793E">
        <w:rPr>
          <w:b/>
          <w:bCs/>
        </w:rPr>
        <w:t>Early life material properties</w:t>
      </w:r>
    </w:p>
    <w:p w14:paraId="789803AF" w14:textId="77777777" w:rsidR="005036CD" w:rsidRDefault="00E657F5" w:rsidP="005036CD">
      <w:r>
        <w:t>The recently installed performance of the CRBM shall be assessed using a</w:t>
      </w:r>
      <w:r w:rsidR="00461D93">
        <w:t>n</w:t>
      </w:r>
      <w:r>
        <w:t xml:space="preserve"> LWD. It is important that the LWD can demonstrate a satisfactory correlation with an agreed reference test method, </w:t>
      </w:r>
      <w:r w:rsidR="0085646E">
        <w:t>i.e.,</w:t>
      </w:r>
      <w:r>
        <w:t xml:space="preserve"> the FWD. Two options are permitted for LWD correlation (BS 1924-2, 2018): a site-specific correlation trial, or an annual correlation certificate.</w:t>
      </w:r>
      <w:r w:rsidR="00626236">
        <w:t xml:space="preserve"> Proof of either method must be provided to the </w:t>
      </w:r>
      <w:r w:rsidR="00041A2E">
        <w:t>Engineer</w:t>
      </w:r>
      <w:r w:rsidR="00626236">
        <w:t xml:space="preserve">. </w:t>
      </w:r>
    </w:p>
    <w:p w14:paraId="7AD23A72" w14:textId="77777777" w:rsidR="005036CD" w:rsidRDefault="00E657F5" w:rsidP="005036CD">
      <w:r>
        <w:t>The performance of the final stabilised layer should be evaluated using a calibrated LWD within 24 hours of final compaction. Dependant on weather conditions testing could commence immediately, but in some instances a small rest period may be required. The final stabilised layer should meet the following criteria:</w:t>
      </w:r>
    </w:p>
    <w:p w14:paraId="6E191A94" w14:textId="77777777" w:rsidR="005036CD" w:rsidRDefault="00E657F5" w:rsidP="00796CD1">
      <w:pPr>
        <w:pStyle w:val="Bullet"/>
      </w:pPr>
      <w:r>
        <w:t>The minimum surface modulus measurement should be ≥ 50 MPa within 2 hours of installation; or ≥ 100MPa within 24 hours of completion of installation.</w:t>
      </w:r>
    </w:p>
    <w:p w14:paraId="541D80A6" w14:textId="77777777" w:rsidR="00810BA6" w:rsidRDefault="00E657F5" w:rsidP="00EC134A">
      <w:r>
        <w:t>Where this criterion is not met, consideration should be made to delaying final</w:t>
      </w:r>
      <w:r w:rsidR="00D2029B">
        <w:t xml:space="preserve"> </w:t>
      </w:r>
      <w:r>
        <w:t xml:space="preserve">surfacing to allow further curing and stiffening of the layer to </w:t>
      </w:r>
      <w:r w:rsidR="00D2029B">
        <w:t>occur. Alternatively</w:t>
      </w:r>
      <w:r>
        <w:t>, a repeat of all or part of the recycling process should be undertaken until a compliant surface modulus is achieved.</w:t>
      </w:r>
    </w:p>
    <w:p w14:paraId="0ADD34E7" w14:textId="77777777" w:rsidR="00810BA6" w:rsidRDefault="00810BA6" w:rsidP="00EC134A"/>
    <w:p w14:paraId="6343382A" w14:textId="77777777" w:rsidR="00810BA6" w:rsidRDefault="00810BA6" w:rsidP="00EC134A"/>
    <w:p w14:paraId="24CE9095" w14:textId="77777777" w:rsidR="00810BA6" w:rsidRDefault="00810BA6" w:rsidP="00EC134A"/>
    <w:p w14:paraId="238D5822" w14:textId="77777777" w:rsidR="00810BA6" w:rsidRDefault="00810BA6" w:rsidP="00EC134A"/>
    <w:p w14:paraId="007AC614" w14:textId="77777777" w:rsidR="00810BA6" w:rsidRPr="00EC134A" w:rsidRDefault="00810BA6" w:rsidP="00EC134A"/>
    <w:p w14:paraId="010DA9D0" w14:textId="77777777" w:rsidR="006D2EE2" w:rsidRDefault="00E657F5" w:rsidP="00437414">
      <w:pPr>
        <w:pStyle w:val="Heading1"/>
      </w:pPr>
      <w:bookmarkStart w:id="69" w:name="_Toc87942705"/>
      <w:bookmarkStart w:id="70" w:name="_Toc123738095"/>
      <w:bookmarkStart w:id="71" w:name="_Toc87942711"/>
      <w:r>
        <w:t>Footways &amp; Cycle</w:t>
      </w:r>
      <w:r w:rsidR="00807337">
        <w:t>track</w:t>
      </w:r>
      <w:r>
        <w:t>s</w:t>
      </w:r>
      <w:bookmarkEnd w:id="69"/>
      <w:bookmarkEnd w:id="70"/>
    </w:p>
    <w:p w14:paraId="04383B0D" w14:textId="77777777" w:rsidR="00437414" w:rsidRDefault="00E657F5" w:rsidP="00437414">
      <w:pPr>
        <w:pStyle w:val="Heading2"/>
      </w:pPr>
      <w:r>
        <w:t>General</w:t>
      </w:r>
    </w:p>
    <w:p w14:paraId="7C3E2052" w14:textId="77777777" w:rsidR="009F1A03" w:rsidRPr="009F1A03" w:rsidRDefault="00E657F5" w:rsidP="009F1A03">
      <w:bookmarkStart w:id="72" w:name="_Hlk116479025"/>
      <w:r w:rsidRPr="009F1A03">
        <w:t>All drainage and sewerage, statutory undertakers' mains and street lighting service connections which run along the footway shall be installed and all trenches and pits shall be filled in accordance with Clauses 3.26 to 3.28.  Before footway construction is commenced. Footways shall be completed up to binder course level, if flexible, or completed if flagged before any house is occupied.  Manhole covers, valve boxes, gully grates, hydrant boxes, stop tap boxes shall be adjusted by the Developer to required levels to the satisfaction of the Engineer.</w:t>
      </w:r>
    </w:p>
    <w:p w14:paraId="766ADCFF" w14:textId="77777777" w:rsidR="009F1A03" w:rsidRPr="009F1A03" w:rsidRDefault="00E657F5" w:rsidP="009F1A03">
      <w:r w:rsidRPr="009F1A03">
        <w:t>Where manhole covers are adjusted, the amount of brickwork above the slab shall not exceed 2 courses. In footways and verges 112mm brickwork in cement mortar may be used.</w:t>
      </w:r>
    </w:p>
    <w:p w14:paraId="7CAD296E" w14:textId="77777777" w:rsidR="009F1A03" w:rsidRPr="009F1A03" w:rsidRDefault="00E657F5" w:rsidP="009F1A03">
      <w:r w:rsidRPr="009F1A03">
        <w:t>Recycled aggregates and reclaimed products will be the preferred choice over natural aggregates and products where it can be demonstrated that the reclaimed materials will prove no detriment to the in-service performance of the highway and the surrounding development.</w:t>
      </w:r>
    </w:p>
    <w:bookmarkEnd w:id="72"/>
    <w:p w14:paraId="1A1B5879" w14:textId="77777777" w:rsidR="00414FEF" w:rsidRDefault="00E657F5" w:rsidP="00414FEF">
      <w:pPr>
        <w:pStyle w:val="Heading2"/>
      </w:pPr>
      <w:r>
        <w:t>Formation Preparation</w:t>
      </w:r>
    </w:p>
    <w:p w14:paraId="261DE902" w14:textId="77777777" w:rsidR="007F55A1" w:rsidRPr="007F55A1" w:rsidRDefault="00E657F5" w:rsidP="007F55A1">
      <w:r w:rsidRPr="007F55A1">
        <w:t>The formation shall be shaped and rolled to levels as shown on the drawings.</w:t>
      </w:r>
    </w:p>
    <w:p w14:paraId="6480BD67" w14:textId="77777777" w:rsidR="00C60481" w:rsidRPr="00C60481" w:rsidRDefault="00E657F5" w:rsidP="00F556E8">
      <w:pPr>
        <w:rPr>
          <w:lang w:eastAsia="en-GB"/>
        </w:rPr>
      </w:pPr>
      <w:r w:rsidRPr="007F55A1">
        <w:t xml:space="preserve">Any organic material, any wet, dusty, </w:t>
      </w:r>
      <w:r w:rsidR="00AA50C0" w:rsidRPr="007F55A1">
        <w:t>loose,</w:t>
      </w:r>
      <w:r w:rsidRPr="007F55A1">
        <w:t xml:space="preserve"> or deteriorated material shall be removed and</w:t>
      </w:r>
      <w:r>
        <w:t xml:space="preserve"> </w:t>
      </w:r>
      <w:r w:rsidRPr="007F55A1">
        <w:t>replaced with properly compacted granular material to the required level. Total weedkiller shall</w:t>
      </w:r>
      <w:r>
        <w:t xml:space="preserve"> </w:t>
      </w:r>
      <w:r w:rsidRPr="007F55A1">
        <w:t>be applied in accordance with the manufacturer's instructions.</w:t>
      </w:r>
    </w:p>
    <w:p w14:paraId="39EF03CA" w14:textId="77777777" w:rsidR="00F001B2" w:rsidRPr="009F6AC7" w:rsidRDefault="00E657F5" w:rsidP="009F688E">
      <w:pPr>
        <w:pStyle w:val="Heading2"/>
      </w:pPr>
      <w:r>
        <w:t>Sub-base, Base and Surfacing materials</w:t>
      </w:r>
      <w:bookmarkEnd w:id="71"/>
      <w:r>
        <w:t xml:space="preserve"> and thicknesses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855"/>
        <w:gridCol w:w="2918"/>
        <w:gridCol w:w="2581"/>
      </w:tblGrid>
      <w:tr w:rsidR="00B933CA" w14:paraId="11CFDC4B" w14:textId="77777777" w:rsidTr="00232C05">
        <w:tc>
          <w:tcPr>
            <w:tcW w:w="1657" w:type="dxa"/>
            <w:shd w:val="clear" w:color="auto" w:fill="B4C6E7"/>
          </w:tcPr>
          <w:p w14:paraId="21714163" w14:textId="77777777" w:rsidR="00F001B2" w:rsidRPr="009A6988" w:rsidRDefault="00E657F5" w:rsidP="00455EF9">
            <w:pPr>
              <w:rPr>
                <w:b/>
                <w:bCs/>
                <w:sz w:val="20"/>
                <w:szCs w:val="20"/>
              </w:rPr>
            </w:pPr>
            <w:r>
              <w:rPr>
                <w:b/>
                <w:bCs/>
                <w:sz w:val="20"/>
                <w:szCs w:val="20"/>
              </w:rPr>
              <w:t>Loading</w:t>
            </w:r>
            <w:r w:rsidR="00870AB7">
              <w:rPr>
                <w:b/>
                <w:bCs/>
                <w:sz w:val="20"/>
                <w:szCs w:val="20"/>
              </w:rPr>
              <w:t xml:space="preserve"> Class</w:t>
            </w:r>
          </w:p>
        </w:tc>
        <w:tc>
          <w:tcPr>
            <w:tcW w:w="1856" w:type="dxa"/>
            <w:shd w:val="clear" w:color="auto" w:fill="B4C6E7"/>
          </w:tcPr>
          <w:p w14:paraId="10E6471D" w14:textId="77777777" w:rsidR="00F001B2" w:rsidRPr="009A6988" w:rsidRDefault="00E657F5" w:rsidP="00455EF9">
            <w:pPr>
              <w:rPr>
                <w:b/>
                <w:bCs/>
                <w:sz w:val="20"/>
                <w:szCs w:val="20"/>
              </w:rPr>
            </w:pPr>
            <w:r>
              <w:rPr>
                <w:b/>
                <w:bCs/>
                <w:sz w:val="20"/>
                <w:szCs w:val="20"/>
              </w:rPr>
              <w:t>Layer</w:t>
            </w:r>
          </w:p>
        </w:tc>
        <w:tc>
          <w:tcPr>
            <w:tcW w:w="2920" w:type="dxa"/>
            <w:tcBorders>
              <w:bottom w:val="single" w:sz="4" w:space="0" w:color="auto"/>
            </w:tcBorders>
            <w:shd w:val="clear" w:color="auto" w:fill="B4C6E7"/>
          </w:tcPr>
          <w:p w14:paraId="6D42D656" w14:textId="77777777" w:rsidR="00F001B2" w:rsidRPr="009A6988" w:rsidRDefault="00E657F5" w:rsidP="00455EF9">
            <w:pPr>
              <w:rPr>
                <w:b/>
                <w:bCs/>
                <w:sz w:val="20"/>
                <w:szCs w:val="20"/>
              </w:rPr>
            </w:pPr>
            <w:r w:rsidRPr="009A6988">
              <w:rPr>
                <w:b/>
                <w:bCs/>
                <w:sz w:val="20"/>
                <w:szCs w:val="20"/>
              </w:rPr>
              <w:t>Material Reference</w:t>
            </w:r>
          </w:p>
        </w:tc>
        <w:tc>
          <w:tcPr>
            <w:tcW w:w="2583" w:type="dxa"/>
            <w:tcBorders>
              <w:bottom w:val="single" w:sz="4" w:space="0" w:color="auto"/>
            </w:tcBorders>
            <w:shd w:val="clear" w:color="auto" w:fill="B4C6E7"/>
          </w:tcPr>
          <w:p w14:paraId="382580ED" w14:textId="77777777" w:rsidR="00F001B2" w:rsidRPr="009A6988" w:rsidRDefault="00E657F5" w:rsidP="00455EF9">
            <w:pPr>
              <w:rPr>
                <w:b/>
                <w:bCs/>
                <w:sz w:val="20"/>
                <w:szCs w:val="20"/>
              </w:rPr>
            </w:pPr>
            <w:r w:rsidRPr="009A6988">
              <w:rPr>
                <w:b/>
                <w:bCs/>
                <w:sz w:val="20"/>
                <w:szCs w:val="20"/>
              </w:rPr>
              <w:t>Thickness (mm)</w:t>
            </w:r>
          </w:p>
        </w:tc>
      </w:tr>
      <w:tr w:rsidR="00B933CA" w14:paraId="0065564C" w14:textId="77777777" w:rsidTr="00232C05">
        <w:tc>
          <w:tcPr>
            <w:tcW w:w="1657" w:type="dxa"/>
            <w:vMerge w:val="restart"/>
            <w:shd w:val="clear" w:color="auto" w:fill="B4C6E7"/>
            <w:vAlign w:val="center"/>
          </w:tcPr>
          <w:p w14:paraId="6E42D4B4" w14:textId="77777777" w:rsidR="00F001B2" w:rsidRPr="00810BA6" w:rsidRDefault="00E657F5" w:rsidP="00455EF9">
            <w:pPr>
              <w:rPr>
                <w:b/>
                <w:bCs/>
                <w:sz w:val="20"/>
                <w:szCs w:val="20"/>
              </w:rPr>
            </w:pPr>
            <w:r w:rsidRPr="00810BA6">
              <w:rPr>
                <w:b/>
                <w:bCs/>
                <w:sz w:val="20"/>
                <w:szCs w:val="20"/>
              </w:rPr>
              <w:t>Pedestrian Only</w:t>
            </w:r>
          </w:p>
        </w:tc>
        <w:tc>
          <w:tcPr>
            <w:tcW w:w="1856" w:type="dxa"/>
            <w:vMerge w:val="restart"/>
            <w:shd w:val="clear" w:color="auto" w:fill="B4C6E7"/>
          </w:tcPr>
          <w:p w14:paraId="14E6E4B8" w14:textId="77777777" w:rsidR="00F001B2" w:rsidRPr="00810BA6" w:rsidRDefault="00E657F5" w:rsidP="00455EF9">
            <w:pPr>
              <w:rPr>
                <w:b/>
                <w:bCs/>
                <w:sz w:val="20"/>
                <w:szCs w:val="20"/>
              </w:rPr>
            </w:pPr>
            <w:r w:rsidRPr="00810BA6">
              <w:rPr>
                <w:b/>
                <w:bCs/>
                <w:sz w:val="20"/>
                <w:szCs w:val="20"/>
              </w:rPr>
              <w:t>Surface Course</w:t>
            </w:r>
          </w:p>
        </w:tc>
        <w:tc>
          <w:tcPr>
            <w:tcW w:w="2920" w:type="dxa"/>
            <w:shd w:val="clear" w:color="auto" w:fill="FBE4D5"/>
          </w:tcPr>
          <w:p w14:paraId="78E12CE6" w14:textId="77777777" w:rsidR="00F001B2" w:rsidRPr="009A6988" w:rsidRDefault="00E657F5" w:rsidP="00455EF9">
            <w:pPr>
              <w:rPr>
                <w:sz w:val="20"/>
                <w:szCs w:val="20"/>
              </w:rPr>
            </w:pPr>
            <w:r w:rsidRPr="009A6988">
              <w:rPr>
                <w:sz w:val="20"/>
                <w:szCs w:val="20"/>
              </w:rPr>
              <w:t>AC 6 dense surf 100/150 (footway only)</w:t>
            </w:r>
          </w:p>
        </w:tc>
        <w:tc>
          <w:tcPr>
            <w:tcW w:w="2583" w:type="dxa"/>
            <w:shd w:val="clear" w:color="auto" w:fill="FBE4D5"/>
          </w:tcPr>
          <w:p w14:paraId="71846D63" w14:textId="77777777" w:rsidR="00F001B2" w:rsidRPr="009A6988" w:rsidRDefault="00E657F5" w:rsidP="00455EF9">
            <w:pPr>
              <w:rPr>
                <w:sz w:val="20"/>
                <w:szCs w:val="20"/>
              </w:rPr>
            </w:pPr>
            <w:r w:rsidRPr="009A6988">
              <w:rPr>
                <w:sz w:val="20"/>
                <w:szCs w:val="20"/>
              </w:rPr>
              <w:t>2</w:t>
            </w:r>
            <w:r w:rsidR="00BD4281">
              <w:rPr>
                <w:sz w:val="20"/>
                <w:szCs w:val="20"/>
              </w:rPr>
              <w:t>5</w:t>
            </w:r>
          </w:p>
        </w:tc>
      </w:tr>
      <w:tr w:rsidR="00B933CA" w14:paraId="329B46AC" w14:textId="77777777" w:rsidTr="00232C05">
        <w:tc>
          <w:tcPr>
            <w:tcW w:w="1657" w:type="dxa"/>
            <w:vMerge/>
            <w:shd w:val="clear" w:color="auto" w:fill="B4C6E7"/>
            <w:vAlign w:val="center"/>
          </w:tcPr>
          <w:p w14:paraId="4AAC414E" w14:textId="77777777" w:rsidR="00F001B2" w:rsidRPr="00810BA6" w:rsidRDefault="00F001B2" w:rsidP="00455EF9">
            <w:pPr>
              <w:rPr>
                <w:b/>
                <w:bCs/>
                <w:sz w:val="20"/>
                <w:szCs w:val="20"/>
              </w:rPr>
            </w:pPr>
          </w:p>
        </w:tc>
        <w:tc>
          <w:tcPr>
            <w:tcW w:w="1856" w:type="dxa"/>
            <w:vMerge/>
            <w:shd w:val="clear" w:color="auto" w:fill="B4C6E7"/>
          </w:tcPr>
          <w:p w14:paraId="4D5220CF" w14:textId="77777777" w:rsidR="00F001B2" w:rsidRPr="00810BA6" w:rsidRDefault="00F001B2" w:rsidP="00455EF9">
            <w:pPr>
              <w:rPr>
                <w:b/>
                <w:bCs/>
                <w:sz w:val="20"/>
                <w:szCs w:val="20"/>
              </w:rPr>
            </w:pPr>
          </w:p>
        </w:tc>
        <w:tc>
          <w:tcPr>
            <w:tcW w:w="5503" w:type="dxa"/>
            <w:gridSpan w:val="2"/>
            <w:shd w:val="clear" w:color="auto" w:fill="FBE4D5"/>
          </w:tcPr>
          <w:p w14:paraId="62C17466" w14:textId="77777777" w:rsidR="00F001B2" w:rsidRPr="009A6988" w:rsidRDefault="00E657F5" w:rsidP="009A6988">
            <w:pPr>
              <w:jc w:val="center"/>
              <w:rPr>
                <w:b/>
                <w:bCs/>
                <w:sz w:val="20"/>
                <w:szCs w:val="20"/>
              </w:rPr>
            </w:pPr>
            <w:r w:rsidRPr="009A6988">
              <w:rPr>
                <w:b/>
                <w:bCs/>
                <w:sz w:val="20"/>
                <w:szCs w:val="20"/>
              </w:rPr>
              <w:t>Or</w:t>
            </w:r>
          </w:p>
        </w:tc>
      </w:tr>
      <w:tr w:rsidR="00B933CA" w14:paraId="3A9FFA4A" w14:textId="77777777" w:rsidTr="00232C05">
        <w:tc>
          <w:tcPr>
            <w:tcW w:w="1657" w:type="dxa"/>
            <w:vMerge/>
            <w:shd w:val="clear" w:color="auto" w:fill="B4C6E7"/>
            <w:vAlign w:val="center"/>
          </w:tcPr>
          <w:p w14:paraId="09F2F141" w14:textId="77777777" w:rsidR="00F001B2" w:rsidRPr="00810BA6" w:rsidRDefault="00F001B2" w:rsidP="00455EF9">
            <w:pPr>
              <w:rPr>
                <w:b/>
                <w:bCs/>
                <w:sz w:val="20"/>
                <w:szCs w:val="20"/>
              </w:rPr>
            </w:pPr>
          </w:p>
        </w:tc>
        <w:tc>
          <w:tcPr>
            <w:tcW w:w="1856" w:type="dxa"/>
            <w:vMerge/>
            <w:tcBorders>
              <w:bottom w:val="single" w:sz="12" w:space="0" w:color="auto"/>
            </w:tcBorders>
            <w:shd w:val="clear" w:color="auto" w:fill="B4C6E7"/>
          </w:tcPr>
          <w:p w14:paraId="481E0A01" w14:textId="77777777" w:rsidR="00F001B2" w:rsidRPr="00810BA6" w:rsidRDefault="00F001B2" w:rsidP="00455EF9">
            <w:pPr>
              <w:rPr>
                <w:b/>
                <w:bCs/>
                <w:sz w:val="20"/>
                <w:szCs w:val="20"/>
              </w:rPr>
            </w:pPr>
          </w:p>
        </w:tc>
        <w:tc>
          <w:tcPr>
            <w:tcW w:w="2920" w:type="dxa"/>
            <w:tcBorders>
              <w:bottom w:val="single" w:sz="12" w:space="0" w:color="auto"/>
            </w:tcBorders>
            <w:shd w:val="clear" w:color="auto" w:fill="FBE4D5"/>
          </w:tcPr>
          <w:p w14:paraId="43729577" w14:textId="77777777" w:rsidR="00F001B2" w:rsidRPr="009A6988" w:rsidRDefault="00E657F5" w:rsidP="00455EF9">
            <w:pPr>
              <w:rPr>
                <w:sz w:val="20"/>
                <w:szCs w:val="20"/>
              </w:rPr>
            </w:pPr>
            <w:r w:rsidRPr="009A6988">
              <w:rPr>
                <w:sz w:val="20"/>
                <w:szCs w:val="20"/>
              </w:rPr>
              <w:t>AC</w:t>
            </w:r>
            <w:r w:rsidR="00AB0476">
              <w:rPr>
                <w:sz w:val="20"/>
                <w:szCs w:val="20"/>
              </w:rPr>
              <w:t xml:space="preserve"> </w:t>
            </w:r>
            <w:r w:rsidRPr="009A6988">
              <w:rPr>
                <w:sz w:val="20"/>
                <w:szCs w:val="20"/>
              </w:rPr>
              <w:t>10 close surf 100/150 (cycle</w:t>
            </w:r>
            <w:r w:rsidR="00807337">
              <w:rPr>
                <w:sz w:val="20"/>
                <w:szCs w:val="20"/>
              </w:rPr>
              <w:t>track</w:t>
            </w:r>
            <w:r w:rsidRPr="009A6988">
              <w:rPr>
                <w:sz w:val="20"/>
                <w:szCs w:val="20"/>
              </w:rPr>
              <w:t xml:space="preserve"> or shared use)</w:t>
            </w:r>
          </w:p>
        </w:tc>
        <w:tc>
          <w:tcPr>
            <w:tcW w:w="2583" w:type="dxa"/>
            <w:tcBorders>
              <w:bottom w:val="single" w:sz="12" w:space="0" w:color="auto"/>
            </w:tcBorders>
            <w:shd w:val="clear" w:color="auto" w:fill="FBE4D5"/>
          </w:tcPr>
          <w:p w14:paraId="1DDCCC8D" w14:textId="77777777" w:rsidR="00F001B2" w:rsidRPr="009A6988" w:rsidRDefault="00E657F5" w:rsidP="00455EF9">
            <w:pPr>
              <w:rPr>
                <w:sz w:val="20"/>
                <w:szCs w:val="20"/>
              </w:rPr>
            </w:pPr>
            <w:r w:rsidRPr="009A6988">
              <w:rPr>
                <w:sz w:val="20"/>
                <w:szCs w:val="20"/>
              </w:rPr>
              <w:t>30</w:t>
            </w:r>
          </w:p>
        </w:tc>
      </w:tr>
      <w:tr w:rsidR="00B933CA" w14:paraId="57FCB2BE" w14:textId="77777777" w:rsidTr="00232C05">
        <w:tc>
          <w:tcPr>
            <w:tcW w:w="1657" w:type="dxa"/>
            <w:vMerge/>
            <w:shd w:val="clear" w:color="auto" w:fill="B4C6E7"/>
            <w:vAlign w:val="center"/>
          </w:tcPr>
          <w:p w14:paraId="2651C426" w14:textId="77777777" w:rsidR="00F001B2" w:rsidRPr="00810BA6" w:rsidRDefault="00F001B2" w:rsidP="00455EF9">
            <w:pPr>
              <w:rPr>
                <w:b/>
                <w:bCs/>
                <w:sz w:val="20"/>
                <w:szCs w:val="20"/>
              </w:rPr>
            </w:pPr>
          </w:p>
        </w:tc>
        <w:tc>
          <w:tcPr>
            <w:tcW w:w="1856" w:type="dxa"/>
            <w:vMerge w:val="restart"/>
            <w:tcBorders>
              <w:top w:val="single" w:sz="12" w:space="0" w:color="auto"/>
            </w:tcBorders>
            <w:shd w:val="clear" w:color="auto" w:fill="B4C6E7"/>
          </w:tcPr>
          <w:p w14:paraId="29DEA26C" w14:textId="77777777" w:rsidR="00F001B2" w:rsidRPr="00810BA6" w:rsidRDefault="00E657F5" w:rsidP="00455EF9">
            <w:pPr>
              <w:rPr>
                <w:b/>
                <w:bCs/>
                <w:sz w:val="20"/>
                <w:szCs w:val="20"/>
              </w:rPr>
            </w:pPr>
            <w:r w:rsidRPr="00810BA6">
              <w:rPr>
                <w:b/>
                <w:bCs/>
                <w:sz w:val="20"/>
                <w:szCs w:val="20"/>
              </w:rPr>
              <w:t>Binder Course</w:t>
            </w:r>
          </w:p>
        </w:tc>
        <w:tc>
          <w:tcPr>
            <w:tcW w:w="2920" w:type="dxa"/>
            <w:tcBorders>
              <w:top w:val="single" w:sz="12" w:space="0" w:color="auto"/>
              <w:bottom w:val="single" w:sz="4" w:space="0" w:color="auto"/>
            </w:tcBorders>
            <w:shd w:val="clear" w:color="auto" w:fill="FBE4D5"/>
          </w:tcPr>
          <w:p w14:paraId="5D09E10D" w14:textId="77777777" w:rsidR="00F001B2" w:rsidRPr="009A6988" w:rsidRDefault="00E657F5" w:rsidP="00455EF9">
            <w:pPr>
              <w:rPr>
                <w:sz w:val="20"/>
                <w:szCs w:val="20"/>
              </w:rPr>
            </w:pPr>
            <w:r w:rsidRPr="009A6988">
              <w:rPr>
                <w:sz w:val="20"/>
                <w:szCs w:val="20"/>
              </w:rPr>
              <w:t>Clause 948 H</w:t>
            </w:r>
            <w:r w:rsidR="00D11AF6">
              <w:rPr>
                <w:sz w:val="20"/>
                <w:szCs w:val="20"/>
              </w:rPr>
              <w:t>1-H3</w:t>
            </w:r>
            <w:r w:rsidRPr="009A6988">
              <w:rPr>
                <w:sz w:val="20"/>
                <w:szCs w:val="20"/>
              </w:rPr>
              <w:t xml:space="preserve"> or </w:t>
            </w:r>
            <w:r w:rsidR="00F556E8">
              <w:rPr>
                <w:sz w:val="20"/>
                <w:szCs w:val="20"/>
              </w:rPr>
              <w:t>HB</w:t>
            </w:r>
            <w:r w:rsidR="00F556E8" w:rsidRPr="009A6988">
              <w:rPr>
                <w:sz w:val="20"/>
                <w:szCs w:val="20"/>
              </w:rPr>
              <w:t xml:space="preserve">M </w:t>
            </w:r>
            <w:r w:rsidRPr="009A6988">
              <w:rPr>
                <w:sz w:val="20"/>
                <w:szCs w:val="20"/>
              </w:rPr>
              <w:t>C3/4</w:t>
            </w:r>
          </w:p>
        </w:tc>
        <w:tc>
          <w:tcPr>
            <w:tcW w:w="2583" w:type="dxa"/>
            <w:tcBorders>
              <w:top w:val="single" w:sz="12" w:space="0" w:color="auto"/>
              <w:bottom w:val="single" w:sz="4" w:space="0" w:color="auto"/>
            </w:tcBorders>
            <w:shd w:val="clear" w:color="auto" w:fill="FBE4D5"/>
          </w:tcPr>
          <w:p w14:paraId="5F0B8510" w14:textId="77777777" w:rsidR="00F001B2" w:rsidRPr="009A6988" w:rsidRDefault="00E657F5" w:rsidP="00455EF9">
            <w:pPr>
              <w:rPr>
                <w:sz w:val="20"/>
                <w:szCs w:val="20"/>
              </w:rPr>
            </w:pPr>
            <w:r w:rsidRPr="009A6988">
              <w:rPr>
                <w:sz w:val="20"/>
                <w:szCs w:val="20"/>
              </w:rPr>
              <w:t>150</w:t>
            </w:r>
          </w:p>
        </w:tc>
      </w:tr>
      <w:tr w:rsidR="00B933CA" w14:paraId="6BF860EE" w14:textId="77777777" w:rsidTr="00232C05">
        <w:tc>
          <w:tcPr>
            <w:tcW w:w="1657" w:type="dxa"/>
            <w:vMerge/>
            <w:shd w:val="clear" w:color="auto" w:fill="B4C6E7"/>
            <w:vAlign w:val="center"/>
          </w:tcPr>
          <w:p w14:paraId="14620D80" w14:textId="77777777" w:rsidR="00F001B2" w:rsidRPr="00810BA6" w:rsidRDefault="00F001B2" w:rsidP="00455EF9">
            <w:pPr>
              <w:rPr>
                <w:b/>
                <w:bCs/>
                <w:sz w:val="20"/>
                <w:szCs w:val="20"/>
              </w:rPr>
            </w:pPr>
          </w:p>
        </w:tc>
        <w:tc>
          <w:tcPr>
            <w:tcW w:w="1856" w:type="dxa"/>
            <w:vMerge/>
            <w:shd w:val="clear" w:color="auto" w:fill="B4C6E7"/>
          </w:tcPr>
          <w:p w14:paraId="10AC9F40" w14:textId="77777777" w:rsidR="00F001B2" w:rsidRPr="00810BA6" w:rsidRDefault="00F001B2" w:rsidP="00455EF9">
            <w:pPr>
              <w:rPr>
                <w:b/>
                <w:bCs/>
                <w:sz w:val="20"/>
                <w:szCs w:val="20"/>
              </w:rPr>
            </w:pPr>
          </w:p>
        </w:tc>
        <w:tc>
          <w:tcPr>
            <w:tcW w:w="5503" w:type="dxa"/>
            <w:gridSpan w:val="2"/>
            <w:tcBorders>
              <w:bottom w:val="single" w:sz="4" w:space="0" w:color="auto"/>
            </w:tcBorders>
            <w:shd w:val="clear" w:color="auto" w:fill="FBE4D5"/>
          </w:tcPr>
          <w:p w14:paraId="4966131F" w14:textId="77777777" w:rsidR="00F001B2" w:rsidRPr="009A6988" w:rsidRDefault="00E657F5" w:rsidP="009A6988">
            <w:pPr>
              <w:jc w:val="center"/>
              <w:rPr>
                <w:b/>
                <w:bCs/>
                <w:sz w:val="20"/>
                <w:szCs w:val="20"/>
              </w:rPr>
            </w:pPr>
            <w:r w:rsidRPr="009A6988">
              <w:rPr>
                <w:b/>
                <w:bCs/>
                <w:sz w:val="20"/>
                <w:szCs w:val="20"/>
              </w:rPr>
              <w:t>Or</w:t>
            </w:r>
          </w:p>
        </w:tc>
      </w:tr>
      <w:tr w:rsidR="00B933CA" w14:paraId="3CB5DACF" w14:textId="77777777" w:rsidTr="00232C05">
        <w:tc>
          <w:tcPr>
            <w:tcW w:w="1657" w:type="dxa"/>
            <w:vMerge/>
            <w:shd w:val="clear" w:color="auto" w:fill="B4C6E7"/>
            <w:vAlign w:val="center"/>
          </w:tcPr>
          <w:p w14:paraId="32AB6E0B" w14:textId="77777777" w:rsidR="00F001B2" w:rsidRPr="00810BA6" w:rsidRDefault="00F001B2" w:rsidP="00455EF9">
            <w:pPr>
              <w:rPr>
                <w:b/>
                <w:bCs/>
                <w:sz w:val="20"/>
                <w:szCs w:val="20"/>
              </w:rPr>
            </w:pPr>
          </w:p>
        </w:tc>
        <w:tc>
          <w:tcPr>
            <w:tcW w:w="1856" w:type="dxa"/>
            <w:vMerge/>
            <w:tcBorders>
              <w:bottom w:val="single" w:sz="4" w:space="0" w:color="auto"/>
            </w:tcBorders>
            <w:shd w:val="clear" w:color="auto" w:fill="B4C6E7"/>
          </w:tcPr>
          <w:p w14:paraId="75A95EE7" w14:textId="77777777" w:rsidR="00F001B2" w:rsidRPr="00810BA6" w:rsidRDefault="00F001B2" w:rsidP="00455EF9">
            <w:pPr>
              <w:rPr>
                <w:b/>
                <w:bCs/>
                <w:sz w:val="20"/>
                <w:szCs w:val="20"/>
              </w:rPr>
            </w:pPr>
          </w:p>
        </w:tc>
        <w:tc>
          <w:tcPr>
            <w:tcW w:w="2920" w:type="dxa"/>
            <w:tcBorders>
              <w:bottom w:val="single" w:sz="4" w:space="0" w:color="auto"/>
            </w:tcBorders>
            <w:shd w:val="clear" w:color="auto" w:fill="FBE4D5"/>
          </w:tcPr>
          <w:p w14:paraId="7DAACBFC" w14:textId="77777777" w:rsidR="00F001B2" w:rsidRPr="009A6988" w:rsidRDefault="00E657F5" w:rsidP="00455EF9">
            <w:pPr>
              <w:rPr>
                <w:sz w:val="20"/>
                <w:szCs w:val="20"/>
              </w:rPr>
            </w:pPr>
            <w:r w:rsidRPr="009A6988">
              <w:rPr>
                <w:sz w:val="20"/>
                <w:szCs w:val="20"/>
              </w:rPr>
              <w:t>AC 20 dense bin 100/150</w:t>
            </w:r>
          </w:p>
        </w:tc>
        <w:tc>
          <w:tcPr>
            <w:tcW w:w="2583" w:type="dxa"/>
            <w:tcBorders>
              <w:bottom w:val="single" w:sz="4" w:space="0" w:color="auto"/>
            </w:tcBorders>
            <w:shd w:val="clear" w:color="auto" w:fill="FBE4D5"/>
          </w:tcPr>
          <w:p w14:paraId="1C607D5B" w14:textId="77777777" w:rsidR="00F001B2" w:rsidRPr="009A6988" w:rsidRDefault="00E657F5" w:rsidP="00455EF9">
            <w:pPr>
              <w:rPr>
                <w:sz w:val="20"/>
                <w:szCs w:val="20"/>
              </w:rPr>
            </w:pPr>
            <w:r w:rsidRPr="009A6988">
              <w:rPr>
                <w:sz w:val="20"/>
                <w:szCs w:val="20"/>
              </w:rPr>
              <w:t>50</w:t>
            </w:r>
          </w:p>
        </w:tc>
      </w:tr>
      <w:tr w:rsidR="00B933CA" w14:paraId="4B1806DC" w14:textId="77777777" w:rsidTr="00232C05">
        <w:tc>
          <w:tcPr>
            <w:tcW w:w="1657" w:type="dxa"/>
            <w:vMerge/>
            <w:shd w:val="clear" w:color="auto" w:fill="B4C6E7"/>
            <w:vAlign w:val="center"/>
          </w:tcPr>
          <w:p w14:paraId="27980D5E" w14:textId="77777777" w:rsidR="00F001B2" w:rsidRPr="00810BA6" w:rsidRDefault="00F001B2" w:rsidP="00455EF9">
            <w:pPr>
              <w:rPr>
                <w:b/>
                <w:bCs/>
                <w:sz w:val="20"/>
                <w:szCs w:val="20"/>
              </w:rPr>
            </w:pPr>
          </w:p>
        </w:tc>
        <w:tc>
          <w:tcPr>
            <w:tcW w:w="1856" w:type="dxa"/>
            <w:tcBorders>
              <w:bottom w:val="single" w:sz="4" w:space="0" w:color="auto"/>
            </w:tcBorders>
            <w:shd w:val="clear" w:color="auto" w:fill="B4C6E7"/>
          </w:tcPr>
          <w:p w14:paraId="0F45A4A5" w14:textId="77777777" w:rsidR="00F001B2" w:rsidRPr="00810BA6" w:rsidRDefault="00F001B2" w:rsidP="00455EF9">
            <w:pPr>
              <w:rPr>
                <w:b/>
                <w:bCs/>
                <w:sz w:val="20"/>
                <w:szCs w:val="20"/>
              </w:rPr>
            </w:pPr>
          </w:p>
        </w:tc>
        <w:tc>
          <w:tcPr>
            <w:tcW w:w="5503" w:type="dxa"/>
            <w:gridSpan w:val="2"/>
            <w:tcBorders>
              <w:bottom w:val="single" w:sz="4" w:space="0" w:color="auto"/>
            </w:tcBorders>
            <w:shd w:val="clear" w:color="auto" w:fill="FBE4D5"/>
          </w:tcPr>
          <w:p w14:paraId="7DCA0B14" w14:textId="77777777" w:rsidR="00F001B2" w:rsidRPr="009A6988" w:rsidRDefault="00E657F5" w:rsidP="009A6988">
            <w:pPr>
              <w:jc w:val="center"/>
              <w:rPr>
                <w:b/>
                <w:bCs/>
                <w:sz w:val="20"/>
                <w:szCs w:val="20"/>
                <w:u w:val="single"/>
              </w:rPr>
            </w:pPr>
            <w:r w:rsidRPr="009A6988">
              <w:rPr>
                <w:b/>
                <w:bCs/>
                <w:sz w:val="20"/>
                <w:szCs w:val="20"/>
                <w:u w:val="single"/>
              </w:rPr>
              <w:t>And</w:t>
            </w:r>
          </w:p>
        </w:tc>
      </w:tr>
      <w:tr w:rsidR="00B933CA" w14:paraId="7EF07AA3" w14:textId="77777777" w:rsidTr="00232C05">
        <w:tc>
          <w:tcPr>
            <w:tcW w:w="1657" w:type="dxa"/>
            <w:vMerge/>
            <w:tcBorders>
              <w:bottom w:val="single" w:sz="12" w:space="0" w:color="auto"/>
            </w:tcBorders>
            <w:shd w:val="clear" w:color="auto" w:fill="B4C6E7"/>
            <w:vAlign w:val="center"/>
          </w:tcPr>
          <w:p w14:paraId="73CC04DA" w14:textId="77777777" w:rsidR="00F001B2" w:rsidRPr="00810BA6" w:rsidRDefault="00F001B2" w:rsidP="00455EF9">
            <w:pPr>
              <w:rPr>
                <w:b/>
                <w:bCs/>
                <w:sz w:val="20"/>
                <w:szCs w:val="20"/>
              </w:rPr>
            </w:pPr>
          </w:p>
        </w:tc>
        <w:tc>
          <w:tcPr>
            <w:tcW w:w="1856" w:type="dxa"/>
            <w:tcBorders>
              <w:bottom w:val="single" w:sz="12" w:space="0" w:color="auto"/>
            </w:tcBorders>
            <w:shd w:val="clear" w:color="auto" w:fill="B4C6E7"/>
          </w:tcPr>
          <w:p w14:paraId="74E324B7" w14:textId="77777777" w:rsidR="00F001B2" w:rsidRPr="00810BA6" w:rsidRDefault="00E657F5" w:rsidP="00455EF9">
            <w:pPr>
              <w:rPr>
                <w:b/>
                <w:bCs/>
                <w:sz w:val="20"/>
                <w:szCs w:val="20"/>
              </w:rPr>
            </w:pPr>
            <w:r w:rsidRPr="00810BA6">
              <w:rPr>
                <w:b/>
                <w:bCs/>
                <w:sz w:val="20"/>
                <w:szCs w:val="20"/>
              </w:rPr>
              <w:t>Sub-base</w:t>
            </w:r>
          </w:p>
        </w:tc>
        <w:tc>
          <w:tcPr>
            <w:tcW w:w="2920" w:type="dxa"/>
            <w:tcBorders>
              <w:bottom w:val="single" w:sz="12" w:space="0" w:color="auto"/>
            </w:tcBorders>
            <w:shd w:val="clear" w:color="auto" w:fill="FBE4D5"/>
          </w:tcPr>
          <w:p w14:paraId="490474B2" w14:textId="77777777" w:rsidR="00F001B2" w:rsidRPr="009A6988" w:rsidRDefault="00E657F5" w:rsidP="00455EF9">
            <w:pPr>
              <w:rPr>
                <w:sz w:val="20"/>
                <w:szCs w:val="20"/>
              </w:rPr>
            </w:pPr>
            <w:r w:rsidRPr="009A6988">
              <w:rPr>
                <w:sz w:val="20"/>
                <w:szCs w:val="20"/>
              </w:rPr>
              <w:t>Type 1 sub-base</w:t>
            </w:r>
          </w:p>
        </w:tc>
        <w:tc>
          <w:tcPr>
            <w:tcW w:w="2583" w:type="dxa"/>
            <w:tcBorders>
              <w:bottom w:val="single" w:sz="12" w:space="0" w:color="auto"/>
            </w:tcBorders>
            <w:shd w:val="clear" w:color="auto" w:fill="FBE4D5"/>
          </w:tcPr>
          <w:p w14:paraId="4AFDA003" w14:textId="77777777" w:rsidR="00F001B2" w:rsidRPr="009A6988" w:rsidRDefault="00E657F5" w:rsidP="00455EF9">
            <w:pPr>
              <w:rPr>
                <w:sz w:val="20"/>
                <w:szCs w:val="20"/>
              </w:rPr>
            </w:pPr>
            <w:r w:rsidRPr="009A6988">
              <w:rPr>
                <w:sz w:val="20"/>
                <w:szCs w:val="20"/>
              </w:rPr>
              <w:t>100</w:t>
            </w:r>
          </w:p>
        </w:tc>
      </w:tr>
      <w:tr w:rsidR="00B933CA" w14:paraId="2E19B980" w14:textId="77777777" w:rsidTr="00232C05">
        <w:tc>
          <w:tcPr>
            <w:tcW w:w="1657" w:type="dxa"/>
            <w:vMerge w:val="restart"/>
            <w:shd w:val="clear" w:color="auto" w:fill="B4C6E7"/>
            <w:vAlign w:val="center"/>
          </w:tcPr>
          <w:p w14:paraId="6A9DC077" w14:textId="77777777" w:rsidR="00F001B2" w:rsidRPr="00810BA6" w:rsidRDefault="00E657F5" w:rsidP="00455EF9">
            <w:pPr>
              <w:rPr>
                <w:b/>
                <w:bCs/>
                <w:sz w:val="20"/>
                <w:szCs w:val="20"/>
              </w:rPr>
            </w:pPr>
            <w:r w:rsidRPr="00810BA6">
              <w:rPr>
                <w:b/>
                <w:bCs/>
                <w:sz w:val="20"/>
                <w:szCs w:val="20"/>
              </w:rPr>
              <w:t>Light vehicle overrun</w:t>
            </w:r>
          </w:p>
        </w:tc>
        <w:tc>
          <w:tcPr>
            <w:tcW w:w="1856" w:type="dxa"/>
            <w:vMerge w:val="restart"/>
            <w:shd w:val="clear" w:color="auto" w:fill="B4C6E7"/>
          </w:tcPr>
          <w:p w14:paraId="40ED7BCF" w14:textId="77777777" w:rsidR="00F001B2" w:rsidRPr="00810BA6" w:rsidRDefault="00E657F5" w:rsidP="00455EF9">
            <w:pPr>
              <w:rPr>
                <w:b/>
                <w:bCs/>
                <w:sz w:val="20"/>
                <w:szCs w:val="20"/>
              </w:rPr>
            </w:pPr>
            <w:r w:rsidRPr="00810BA6">
              <w:rPr>
                <w:b/>
                <w:bCs/>
                <w:sz w:val="20"/>
                <w:szCs w:val="20"/>
              </w:rPr>
              <w:t>Surface Course</w:t>
            </w:r>
          </w:p>
        </w:tc>
        <w:tc>
          <w:tcPr>
            <w:tcW w:w="2920" w:type="dxa"/>
            <w:tcBorders>
              <w:bottom w:val="single" w:sz="4" w:space="0" w:color="auto"/>
            </w:tcBorders>
            <w:shd w:val="clear" w:color="auto" w:fill="FBE4D5"/>
          </w:tcPr>
          <w:p w14:paraId="71B38139" w14:textId="77777777" w:rsidR="00F001B2" w:rsidRPr="009A6988" w:rsidRDefault="00E657F5" w:rsidP="00455EF9">
            <w:pPr>
              <w:rPr>
                <w:sz w:val="20"/>
                <w:szCs w:val="20"/>
              </w:rPr>
            </w:pPr>
            <w:r w:rsidRPr="009A6988">
              <w:rPr>
                <w:sz w:val="20"/>
                <w:szCs w:val="20"/>
              </w:rPr>
              <w:t>AC 6 dense surf 100/150</w:t>
            </w:r>
          </w:p>
        </w:tc>
        <w:tc>
          <w:tcPr>
            <w:tcW w:w="2583" w:type="dxa"/>
            <w:tcBorders>
              <w:bottom w:val="single" w:sz="4" w:space="0" w:color="auto"/>
            </w:tcBorders>
            <w:shd w:val="clear" w:color="auto" w:fill="FBE4D5"/>
          </w:tcPr>
          <w:p w14:paraId="0E715D6C" w14:textId="77777777" w:rsidR="00F001B2" w:rsidRPr="009A6988" w:rsidRDefault="00E657F5" w:rsidP="00455EF9">
            <w:pPr>
              <w:rPr>
                <w:sz w:val="20"/>
                <w:szCs w:val="20"/>
              </w:rPr>
            </w:pPr>
            <w:r w:rsidRPr="009A6988">
              <w:rPr>
                <w:sz w:val="20"/>
                <w:szCs w:val="20"/>
              </w:rPr>
              <w:t>2</w:t>
            </w:r>
            <w:r w:rsidR="00BD4281">
              <w:rPr>
                <w:sz w:val="20"/>
                <w:szCs w:val="20"/>
              </w:rPr>
              <w:t>5</w:t>
            </w:r>
          </w:p>
        </w:tc>
      </w:tr>
      <w:tr w:rsidR="00B933CA" w14:paraId="3CBA842E" w14:textId="77777777" w:rsidTr="00232C05">
        <w:tc>
          <w:tcPr>
            <w:tcW w:w="1657" w:type="dxa"/>
            <w:vMerge/>
            <w:shd w:val="clear" w:color="auto" w:fill="B4C6E7"/>
            <w:vAlign w:val="center"/>
          </w:tcPr>
          <w:p w14:paraId="2BEE1EFF" w14:textId="77777777" w:rsidR="00F001B2" w:rsidRPr="00810BA6" w:rsidRDefault="00F001B2" w:rsidP="00455EF9">
            <w:pPr>
              <w:rPr>
                <w:rFonts w:cs="Arial"/>
                <w:b/>
                <w:bCs/>
                <w:sz w:val="22"/>
                <w:szCs w:val="22"/>
              </w:rPr>
            </w:pPr>
          </w:p>
        </w:tc>
        <w:tc>
          <w:tcPr>
            <w:tcW w:w="1856" w:type="dxa"/>
            <w:vMerge/>
            <w:tcBorders>
              <w:bottom w:val="single" w:sz="4" w:space="0" w:color="auto"/>
            </w:tcBorders>
            <w:shd w:val="clear" w:color="auto" w:fill="B4C6E7"/>
          </w:tcPr>
          <w:p w14:paraId="6927D8A7" w14:textId="77777777" w:rsidR="00F001B2" w:rsidRPr="00810BA6" w:rsidRDefault="00F001B2" w:rsidP="00455EF9">
            <w:pPr>
              <w:rPr>
                <w:rFonts w:cs="Arial"/>
                <w:b/>
                <w:bCs/>
                <w:sz w:val="22"/>
                <w:szCs w:val="22"/>
              </w:rPr>
            </w:pPr>
          </w:p>
        </w:tc>
        <w:tc>
          <w:tcPr>
            <w:tcW w:w="5503" w:type="dxa"/>
            <w:gridSpan w:val="2"/>
            <w:tcBorders>
              <w:bottom w:val="single" w:sz="4" w:space="0" w:color="auto"/>
            </w:tcBorders>
            <w:shd w:val="clear" w:color="auto" w:fill="FBE4D5"/>
          </w:tcPr>
          <w:p w14:paraId="38AF6B77" w14:textId="77777777" w:rsidR="00F001B2" w:rsidRPr="009A6988" w:rsidRDefault="00E657F5" w:rsidP="009A6988">
            <w:pPr>
              <w:jc w:val="center"/>
              <w:rPr>
                <w:b/>
                <w:bCs/>
                <w:sz w:val="20"/>
                <w:szCs w:val="20"/>
              </w:rPr>
            </w:pPr>
            <w:r w:rsidRPr="009A6988">
              <w:rPr>
                <w:b/>
                <w:bCs/>
                <w:sz w:val="20"/>
                <w:szCs w:val="20"/>
              </w:rPr>
              <w:t>Or</w:t>
            </w:r>
          </w:p>
        </w:tc>
      </w:tr>
      <w:tr w:rsidR="00B933CA" w14:paraId="63E83405" w14:textId="77777777" w:rsidTr="00232C05">
        <w:tc>
          <w:tcPr>
            <w:tcW w:w="1657" w:type="dxa"/>
            <w:vMerge/>
            <w:shd w:val="clear" w:color="auto" w:fill="B4C6E7"/>
            <w:vAlign w:val="center"/>
          </w:tcPr>
          <w:p w14:paraId="5A6DAB48" w14:textId="77777777" w:rsidR="00F001B2" w:rsidRPr="00810BA6" w:rsidRDefault="00F001B2" w:rsidP="00455EF9">
            <w:pPr>
              <w:rPr>
                <w:rFonts w:cs="Arial"/>
                <w:b/>
                <w:bCs/>
                <w:sz w:val="22"/>
                <w:szCs w:val="22"/>
              </w:rPr>
            </w:pPr>
          </w:p>
        </w:tc>
        <w:tc>
          <w:tcPr>
            <w:tcW w:w="1856" w:type="dxa"/>
            <w:vMerge/>
            <w:tcBorders>
              <w:bottom w:val="single" w:sz="12" w:space="0" w:color="auto"/>
            </w:tcBorders>
            <w:shd w:val="clear" w:color="auto" w:fill="B4C6E7"/>
          </w:tcPr>
          <w:p w14:paraId="3C50C971" w14:textId="77777777" w:rsidR="00F001B2" w:rsidRPr="00810BA6" w:rsidRDefault="00F001B2" w:rsidP="00455EF9">
            <w:pPr>
              <w:rPr>
                <w:rFonts w:cs="Arial"/>
                <w:b/>
                <w:bCs/>
                <w:sz w:val="22"/>
                <w:szCs w:val="22"/>
              </w:rPr>
            </w:pPr>
          </w:p>
        </w:tc>
        <w:tc>
          <w:tcPr>
            <w:tcW w:w="2920" w:type="dxa"/>
            <w:tcBorders>
              <w:bottom w:val="single" w:sz="12" w:space="0" w:color="auto"/>
            </w:tcBorders>
            <w:shd w:val="clear" w:color="auto" w:fill="FBE4D5"/>
          </w:tcPr>
          <w:p w14:paraId="024CB731" w14:textId="77777777" w:rsidR="00F001B2" w:rsidRPr="009A6988" w:rsidRDefault="00E657F5" w:rsidP="00455EF9">
            <w:pPr>
              <w:rPr>
                <w:sz w:val="20"/>
                <w:szCs w:val="20"/>
              </w:rPr>
            </w:pPr>
            <w:r w:rsidRPr="009A6988">
              <w:rPr>
                <w:sz w:val="20"/>
                <w:szCs w:val="20"/>
              </w:rPr>
              <w:t>AC</w:t>
            </w:r>
            <w:r w:rsidR="00AB0476">
              <w:rPr>
                <w:sz w:val="20"/>
                <w:szCs w:val="20"/>
              </w:rPr>
              <w:t xml:space="preserve"> </w:t>
            </w:r>
            <w:r w:rsidRPr="009A6988">
              <w:rPr>
                <w:sz w:val="20"/>
                <w:szCs w:val="20"/>
              </w:rPr>
              <w:t>10 close surf 100/150 (cycle</w:t>
            </w:r>
            <w:r w:rsidR="00807337">
              <w:rPr>
                <w:sz w:val="20"/>
                <w:szCs w:val="20"/>
              </w:rPr>
              <w:t>track</w:t>
            </w:r>
            <w:r w:rsidRPr="009A6988">
              <w:rPr>
                <w:sz w:val="20"/>
                <w:szCs w:val="20"/>
              </w:rPr>
              <w:t xml:space="preserve"> or shared use)</w:t>
            </w:r>
          </w:p>
        </w:tc>
        <w:tc>
          <w:tcPr>
            <w:tcW w:w="2583" w:type="dxa"/>
            <w:tcBorders>
              <w:bottom w:val="single" w:sz="12" w:space="0" w:color="auto"/>
            </w:tcBorders>
            <w:shd w:val="clear" w:color="auto" w:fill="FBE4D5"/>
          </w:tcPr>
          <w:p w14:paraId="541C7CAF" w14:textId="77777777" w:rsidR="00F001B2" w:rsidRPr="009A6988" w:rsidRDefault="00E657F5" w:rsidP="00455EF9">
            <w:pPr>
              <w:rPr>
                <w:sz w:val="20"/>
                <w:szCs w:val="20"/>
              </w:rPr>
            </w:pPr>
            <w:r w:rsidRPr="009A6988">
              <w:rPr>
                <w:sz w:val="20"/>
                <w:szCs w:val="20"/>
              </w:rPr>
              <w:t>30</w:t>
            </w:r>
          </w:p>
        </w:tc>
      </w:tr>
      <w:tr w:rsidR="00B933CA" w14:paraId="4F1B07B1" w14:textId="77777777" w:rsidTr="00232C05">
        <w:tc>
          <w:tcPr>
            <w:tcW w:w="1657" w:type="dxa"/>
            <w:vMerge/>
            <w:shd w:val="clear" w:color="auto" w:fill="B4C6E7"/>
            <w:vAlign w:val="center"/>
          </w:tcPr>
          <w:p w14:paraId="5E208A9E" w14:textId="77777777" w:rsidR="00F001B2" w:rsidRPr="00810BA6" w:rsidRDefault="00F001B2" w:rsidP="00455EF9">
            <w:pPr>
              <w:rPr>
                <w:rFonts w:cs="Arial"/>
                <w:b/>
                <w:bCs/>
                <w:sz w:val="22"/>
                <w:szCs w:val="22"/>
              </w:rPr>
            </w:pPr>
          </w:p>
        </w:tc>
        <w:tc>
          <w:tcPr>
            <w:tcW w:w="1856" w:type="dxa"/>
            <w:vMerge w:val="restart"/>
            <w:tcBorders>
              <w:top w:val="single" w:sz="12" w:space="0" w:color="auto"/>
            </w:tcBorders>
            <w:shd w:val="clear" w:color="auto" w:fill="B4C6E7"/>
          </w:tcPr>
          <w:p w14:paraId="2172B155" w14:textId="77777777" w:rsidR="00F001B2" w:rsidRPr="00810BA6" w:rsidRDefault="00E657F5" w:rsidP="00455EF9">
            <w:pPr>
              <w:rPr>
                <w:b/>
                <w:bCs/>
                <w:sz w:val="20"/>
                <w:szCs w:val="20"/>
              </w:rPr>
            </w:pPr>
            <w:r w:rsidRPr="00810BA6">
              <w:rPr>
                <w:b/>
                <w:bCs/>
                <w:sz w:val="20"/>
                <w:szCs w:val="20"/>
              </w:rPr>
              <w:t>Binder Course</w:t>
            </w:r>
          </w:p>
        </w:tc>
        <w:tc>
          <w:tcPr>
            <w:tcW w:w="2920" w:type="dxa"/>
            <w:tcBorders>
              <w:top w:val="single" w:sz="12" w:space="0" w:color="auto"/>
              <w:bottom w:val="single" w:sz="4" w:space="0" w:color="auto"/>
            </w:tcBorders>
            <w:shd w:val="clear" w:color="auto" w:fill="FBE4D5"/>
          </w:tcPr>
          <w:p w14:paraId="4809CCDD" w14:textId="77777777" w:rsidR="00F001B2" w:rsidRPr="009A6988" w:rsidRDefault="00E657F5" w:rsidP="00455EF9">
            <w:pPr>
              <w:rPr>
                <w:sz w:val="20"/>
                <w:szCs w:val="20"/>
              </w:rPr>
            </w:pPr>
            <w:r w:rsidRPr="009A6988">
              <w:rPr>
                <w:sz w:val="20"/>
                <w:szCs w:val="20"/>
              </w:rPr>
              <w:t xml:space="preserve">Clause 948 </w:t>
            </w:r>
            <w:r w:rsidR="00D11AF6" w:rsidRPr="009A6988">
              <w:rPr>
                <w:sz w:val="20"/>
                <w:szCs w:val="20"/>
              </w:rPr>
              <w:t>H</w:t>
            </w:r>
            <w:r w:rsidR="00D11AF6">
              <w:rPr>
                <w:sz w:val="20"/>
                <w:szCs w:val="20"/>
              </w:rPr>
              <w:t>1-H3</w:t>
            </w:r>
            <w:r w:rsidRPr="009A6988">
              <w:rPr>
                <w:sz w:val="20"/>
                <w:szCs w:val="20"/>
              </w:rPr>
              <w:t xml:space="preserve"> or </w:t>
            </w:r>
            <w:r w:rsidR="00D11AF6">
              <w:rPr>
                <w:sz w:val="20"/>
                <w:szCs w:val="20"/>
              </w:rPr>
              <w:t>H</w:t>
            </w:r>
            <w:r w:rsidR="00F556E8">
              <w:rPr>
                <w:sz w:val="20"/>
                <w:szCs w:val="20"/>
              </w:rPr>
              <w:t>B</w:t>
            </w:r>
            <w:r w:rsidRPr="009A6988">
              <w:rPr>
                <w:sz w:val="20"/>
                <w:szCs w:val="20"/>
              </w:rPr>
              <w:t>M C3/4</w:t>
            </w:r>
          </w:p>
        </w:tc>
        <w:tc>
          <w:tcPr>
            <w:tcW w:w="2583" w:type="dxa"/>
            <w:tcBorders>
              <w:top w:val="single" w:sz="12" w:space="0" w:color="auto"/>
              <w:bottom w:val="single" w:sz="4" w:space="0" w:color="auto"/>
            </w:tcBorders>
            <w:shd w:val="clear" w:color="auto" w:fill="FBE4D5"/>
          </w:tcPr>
          <w:p w14:paraId="3B0522F6" w14:textId="77777777" w:rsidR="00F001B2" w:rsidRPr="009A6988" w:rsidRDefault="00E657F5" w:rsidP="00455EF9">
            <w:pPr>
              <w:rPr>
                <w:sz w:val="20"/>
                <w:szCs w:val="20"/>
              </w:rPr>
            </w:pPr>
            <w:r w:rsidRPr="009A6988">
              <w:rPr>
                <w:sz w:val="20"/>
                <w:szCs w:val="20"/>
              </w:rPr>
              <w:t>255</w:t>
            </w:r>
          </w:p>
        </w:tc>
      </w:tr>
      <w:tr w:rsidR="00B933CA" w14:paraId="08AED61C" w14:textId="77777777" w:rsidTr="00232C05">
        <w:tc>
          <w:tcPr>
            <w:tcW w:w="1657" w:type="dxa"/>
            <w:vMerge/>
            <w:shd w:val="clear" w:color="auto" w:fill="B4C6E7"/>
            <w:vAlign w:val="center"/>
          </w:tcPr>
          <w:p w14:paraId="5B02E059" w14:textId="77777777" w:rsidR="00F001B2" w:rsidRPr="00BF6DB5" w:rsidRDefault="00F001B2" w:rsidP="00455EF9">
            <w:pPr>
              <w:rPr>
                <w:rFonts w:cs="Arial"/>
                <w:sz w:val="22"/>
                <w:szCs w:val="22"/>
              </w:rPr>
            </w:pPr>
          </w:p>
        </w:tc>
        <w:tc>
          <w:tcPr>
            <w:tcW w:w="1856" w:type="dxa"/>
            <w:vMerge/>
            <w:shd w:val="clear" w:color="auto" w:fill="B4C6E7"/>
          </w:tcPr>
          <w:p w14:paraId="1865A860" w14:textId="77777777" w:rsidR="00F001B2" w:rsidRPr="009A6988" w:rsidRDefault="00F001B2" w:rsidP="00455EF9">
            <w:pPr>
              <w:rPr>
                <w:sz w:val="20"/>
                <w:szCs w:val="20"/>
              </w:rPr>
            </w:pPr>
          </w:p>
        </w:tc>
        <w:tc>
          <w:tcPr>
            <w:tcW w:w="5503" w:type="dxa"/>
            <w:gridSpan w:val="2"/>
            <w:tcBorders>
              <w:bottom w:val="single" w:sz="4" w:space="0" w:color="auto"/>
            </w:tcBorders>
            <w:shd w:val="clear" w:color="auto" w:fill="FBE4D5"/>
          </w:tcPr>
          <w:p w14:paraId="0EF92FE3" w14:textId="77777777" w:rsidR="00F001B2" w:rsidRPr="009A6988" w:rsidRDefault="00E657F5" w:rsidP="009A6988">
            <w:pPr>
              <w:jc w:val="center"/>
              <w:rPr>
                <w:b/>
                <w:bCs/>
                <w:sz w:val="20"/>
                <w:szCs w:val="20"/>
              </w:rPr>
            </w:pPr>
            <w:r w:rsidRPr="009A6988">
              <w:rPr>
                <w:b/>
                <w:bCs/>
                <w:sz w:val="20"/>
                <w:szCs w:val="20"/>
              </w:rPr>
              <w:t>Or</w:t>
            </w:r>
          </w:p>
        </w:tc>
      </w:tr>
      <w:tr w:rsidR="00B933CA" w14:paraId="0889CEAF" w14:textId="77777777" w:rsidTr="00232C05">
        <w:tc>
          <w:tcPr>
            <w:tcW w:w="1657" w:type="dxa"/>
            <w:vMerge/>
            <w:shd w:val="clear" w:color="auto" w:fill="B4C6E7"/>
            <w:vAlign w:val="center"/>
          </w:tcPr>
          <w:p w14:paraId="36589DF4" w14:textId="77777777" w:rsidR="00F001B2" w:rsidRPr="00BF6DB5" w:rsidRDefault="00F001B2" w:rsidP="00455EF9">
            <w:pPr>
              <w:rPr>
                <w:rFonts w:cs="Arial"/>
                <w:sz w:val="22"/>
                <w:szCs w:val="22"/>
              </w:rPr>
            </w:pPr>
          </w:p>
        </w:tc>
        <w:tc>
          <w:tcPr>
            <w:tcW w:w="1856" w:type="dxa"/>
            <w:vMerge/>
            <w:tcBorders>
              <w:bottom w:val="single" w:sz="4" w:space="0" w:color="auto"/>
            </w:tcBorders>
            <w:shd w:val="clear" w:color="auto" w:fill="B4C6E7"/>
          </w:tcPr>
          <w:p w14:paraId="00B072CF" w14:textId="77777777" w:rsidR="00F001B2" w:rsidRPr="009A6988" w:rsidRDefault="00F001B2" w:rsidP="00455EF9">
            <w:pPr>
              <w:rPr>
                <w:sz w:val="20"/>
                <w:szCs w:val="20"/>
              </w:rPr>
            </w:pPr>
          </w:p>
        </w:tc>
        <w:tc>
          <w:tcPr>
            <w:tcW w:w="2920" w:type="dxa"/>
            <w:tcBorders>
              <w:bottom w:val="single" w:sz="4" w:space="0" w:color="auto"/>
            </w:tcBorders>
            <w:shd w:val="clear" w:color="auto" w:fill="FBE4D5"/>
          </w:tcPr>
          <w:p w14:paraId="0C312886" w14:textId="77777777" w:rsidR="00F001B2" w:rsidRPr="009A6988" w:rsidRDefault="00E657F5" w:rsidP="00455EF9">
            <w:pPr>
              <w:rPr>
                <w:sz w:val="20"/>
                <w:szCs w:val="20"/>
              </w:rPr>
            </w:pPr>
            <w:r w:rsidRPr="009A6988">
              <w:rPr>
                <w:sz w:val="20"/>
                <w:szCs w:val="20"/>
              </w:rPr>
              <w:t>AC 20 dense bin 100/150</w:t>
            </w:r>
          </w:p>
        </w:tc>
        <w:tc>
          <w:tcPr>
            <w:tcW w:w="2583" w:type="dxa"/>
            <w:tcBorders>
              <w:bottom w:val="single" w:sz="4" w:space="0" w:color="auto"/>
            </w:tcBorders>
            <w:shd w:val="clear" w:color="auto" w:fill="FBE4D5"/>
          </w:tcPr>
          <w:p w14:paraId="54EC4E6F" w14:textId="77777777" w:rsidR="00F001B2" w:rsidRPr="009A6988" w:rsidRDefault="00E657F5" w:rsidP="00455EF9">
            <w:pPr>
              <w:rPr>
                <w:sz w:val="20"/>
                <w:szCs w:val="20"/>
              </w:rPr>
            </w:pPr>
            <w:r w:rsidRPr="009A6988">
              <w:rPr>
                <w:sz w:val="20"/>
                <w:szCs w:val="20"/>
              </w:rPr>
              <w:t>70</w:t>
            </w:r>
          </w:p>
        </w:tc>
      </w:tr>
      <w:tr w:rsidR="00B933CA" w14:paraId="6416D26E" w14:textId="77777777" w:rsidTr="00232C05">
        <w:tc>
          <w:tcPr>
            <w:tcW w:w="1657" w:type="dxa"/>
            <w:vMerge/>
            <w:shd w:val="clear" w:color="auto" w:fill="B4C6E7"/>
            <w:vAlign w:val="center"/>
          </w:tcPr>
          <w:p w14:paraId="29CABCFC" w14:textId="77777777" w:rsidR="00F001B2" w:rsidRPr="00BF6DB5" w:rsidRDefault="00F001B2" w:rsidP="00455EF9">
            <w:pPr>
              <w:rPr>
                <w:rFonts w:cs="Arial"/>
                <w:sz w:val="22"/>
                <w:szCs w:val="22"/>
              </w:rPr>
            </w:pPr>
          </w:p>
        </w:tc>
        <w:tc>
          <w:tcPr>
            <w:tcW w:w="1856" w:type="dxa"/>
            <w:tcBorders>
              <w:bottom w:val="single" w:sz="4" w:space="0" w:color="auto"/>
            </w:tcBorders>
            <w:shd w:val="clear" w:color="auto" w:fill="B4C6E7"/>
          </w:tcPr>
          <w:p w14:paraId="61C0C5DE" w14:textId="77777777" w:rsidR="00F001B2" w:rsidRPr="009A6988" w:rsidRDefault="00F001B2" w:rsidP="00455EF9">
            <w:pPr>
              <w:rPr>
                <w:sz w:val="20"/>
                <w:szCs w:val="20"/>
              </w:rPr>
            </w:pPr>
          </w:p>
        </w:tc>
        <w:tc>
          <w:tcPr>
            <w:tcW w:w="5503" w:type="dxa"/>
            <w:gridSpan w:val="2"/>
            <w:tcBorders>
              <w:bottom w:val="single" w:sz="4" w:space="0" w:color="auto"/>
            </w:tcBorders>
            <w:shd w:val="clear" w:color="auto" w:fill="FBE4D5"/>
          </w:tcPr>
          <w:p w14:paraId="3B73C9F0" w14:textId="77777777" w:rsidR="00F001B2" w:rsidRPr="00DD37E3" w:rsidRDefault="00E657F5" w:rsidP="00DD37E3">
            <w:pPr>
              <w:jc w:val="center"/>
              <w:rPr>
                <w:b/>
                <w:bCs/>
                <w:sz w:val="20"/>
                <w:szCs w:val="20"/>
                <w:u w:val="single"/>
              </w:rPr>
            </w:pPr>
            <w:r w:rsidRPr="00DD37E3">
              <w:rPr>
                <w:b/>
                <w:bCs/>
                <w:sz w:val="20"/>
                <w:szCs w:val="20"/>
                <w:u w:val="single"/>
              </w:rPr>
              <w:t>And</w:t>
            </w:r>
          </w:p>
        </w:tc>
      </w:tr>
      <w:tr w:rsidR="00B933CA" w14:paraId="7842B1F9" w14:textId="77777777" w:rsidTr="00232C05">
        <w:tc>
          <w:tcPr>
            <w:tcW w:w="1657" w:type="dxa"/>
            <w:vMerge/>
            <w:tcBorders>
              <w:bottom w:val="single" w:sz="12" w:space="0" w:color="auto"/>
            </w:tcBorders>
            <w:shd w:val="clear" w:color="auto" w:fill="B4C6E7"/>
            <w:vAlign w:val="center"/>
          </w:tcPr>
          <w:p w14:paraId="5A93A26C" w14:textId="77777777" w:rsidR="00F001B2" w:rsidRPr="00BF6DB5" w:rsidRDefault="00F001B2" w:rsidP="00455EF9">
            <w:pPr>
              <w:rPr>
                <w:rFonts w:cs="Arial"/>
                <w:sz w:val="22"/>
                <w:szCs w:val="22"/>
              </w:rPr>
            </w:pPr>
          </w:p>
        </w:tc>
        <w:tc>
          <w:tcPr>
            <w:tcW w:w="1856" w:type="dxa"/>
            <w:tcBorders>
              <w:bottom w:val="single" w:sz="12" w:space="0" w:color="auto"/>
            </w:tcBorders>
            <w:shd w:val="clear" w:color="auto" w:fill="B4C6E7"/>
          </w:tcPr>
          <w:p w14:paraId="6CCAE89E" w14:textId="77777777" w:rsidR="00F001B2" w:rsidRPr="00810BA6" w:rsidRDefault="00E657F5" w:rsidP="00455EF9">
            <w:pPr>
              <w:rPr>
                <w:b/>
                <w:bCs/>
                <w:sz w:val="20"/>
                <w:szCs w:val="20"/>
              </w:rPr>
            </w:pPr>
            <w:r w:rsidRPr="00810BA6">
              <w:rPr>
                <w:b/>
                <w:bCs/>
                <w:sz w:val="20"/>
                <w:szCs w:val="20"/>
              </w:rPr>
              <w:t>Sub-base</w:t>
            </w:r>
          </w:p>
        </w:tc>
        <w:tc>
          <w:tcPr>
            <w:tcW w:w="2920" w:type="dxa"/>
            <w:tcBorders>
              <w:bottom w:val="single" w:sz="12" w:space="0" w:color="auto"/>
            </w:tcBorders>
            <w:shd w:val="clear" w:color="auto" w:fill="FBE4D5"/>
          </w:tcPr>
          <w:p w14:paraId="3F4AD801" w14:textId="77777777" w:rsidR="00F001B2" w:rsidRPr="009A6988" w:rsidRDefault="00E657F5" w:rsidP="00455EF9">
            <w:pPr>
              <w:rPr>
                <w:sz w:val="20"/>
                <w:szCs w:val="20"/>
              </w:rPr>
            </w:pPr>
            <w:r w:rsidRPr="009A6988">
              <w:rPr>
                <w:sz w:val="20"/>
                <w:szCs w:val="20"/>
              </w:rPr>
              <w:t>Type 1 sub-base</w:t>
            </w:r>
          </w:p>
        </w:tc>
        <w:tc>
          <w:tcPr>
            <w:tcW w:w="2583" w:type="dxa"/>
            <w:tcBorders>
              <w:bottom w:val="single" w:sz="12" w:space="0" w:color="auto"/>
            </w:tcBorders>
            <w:shd w:val="clear" w:color="auto" w:fill="FBE4D5"/>
          </w:tcPr>
          <w:p w14:paraId="354D79B4" w14:textId="77777777" w:rsidR="00F001B2" w:rsidRPr="009A6988" w:rsidRDefault="00E657F5" w:rsidP="00455EF9">
            <w:pPr>
              <w:rPr>
                <w:sz w:val="20"/>
                <w:szCs w:val="20"/>
              </w:rPr>
            </w:pPr>
            <w:r w:rsidRPr="009A6988">
              <w:rPr>
                <w:sz w:val="20"/>
                <w:szCs w:val="20"/>
              </w:rPr>
              <w:t>225</w:t>
            </w:r>
          </w:p>
        </w:tc>
      </w:tr>
      <w:tr w:rsidR="00B933CA" w14:paraId="55FD589D" w14:textId="77777777" w:rsidTr="00232C05">
        <w:tc>
          <w:tcPr>
            <w:tcW w:w="1657" w:type="dxa"/>
            <w:vMerge w:val="restart"/>
            <w:shd w:val="clear" w:color="auto" w:fill="B4C6E7"/>
            <w:vAlign w:val="center"/>
          </w:tcPr>
          <w:p w14:paraId="31B29784" w14:textId="77777777" w:rsidR="00F001B2" w:rsidRPr="00810BA6" w:rsidRDefault="00E657F5" w:rsidP="00455EF9">
            <w:pPr>
              <w:rPr>
                <w:b/>
                <w:bCs/>
                <w:sz w:val="20"/>
                <w:szCs w:val="20"/>
              </w:rPr>
            </w:pPr>
            <w:r w:rsidRPr="00810BA6">
              <w:rPr>
                <w:b/>
                <w:bCs/>
                <w:sz w:val="20"/>
                <w:szCs w:val="20"/>
              </w:rPr>
              <w:t>Heavy vehicle overrun</w:t>
            </w:r>
          </w:p>
        </w:tc>
        <w:tc>
          <w:tcPr>
            <w:tcW w:w="1856" w:type="dxa"/>
            <w:vMerge w:val="restart"/>
            <w:shd w:val="clear" w:color="auto" w:fill="B4C6E7"/>
          </w:tcPr>
          <w:p w14:paraId="2B6B78BF" w14:textId="77777777" w:rsidR="00F001B2" w:rsidRPr="00810BA6" w:rsidRDefault="00E657F5" w:rsidP="00455EF9">
            <w:pPr>
              <w:rPr>
                <w:b/>
                <w:bCs/>
                <w:sz w:val="20"/>
                <w:szCs w:val="20"/>
              </w:rPr>
            </w:pPr>
            <w:r w:rsidRPr="00810BA6">
              <w:rPr>
                <w:b/>
                <w:bCs/>
                <w:sz w:val="20"/>
                <w:szCs w:val="20"/>
              </w:rPr>
              <w:t>Surface Course</w:t>
            </w:r>
          </w:p>
        </w:tc>
        <w:tc>
          <w:tcPr>
            <w:tcW w:w="2920" w:type="dxa"/>
            <w:tcBorders>
              <w:bottom w:val="single" w:sz="4" w:space="0" w:color="auto"/>
            </w:tcBorders>
            <w:shd w:val="clear" w:color="auto" w:fill="FBE4D5"/>
          </w:tcPr>
          <w:p w14:paraId="55041067" w14:textId="77777777" w:rsidR="00F001B2" w:rsidRPr="009A6988" w:rsidRDefault="00E657F5" w:rsidP="00455EF9">
            <w:pPr>
              <w:rPr>
                <w:sz w:val="20"/>
                <w:szCs w:val="20"/>
              </w:rPr>
            </w:pPr>
            <w:r w:rsidRPr="009A6988">
              <w:rPr>
                <w:sz w:val="20"/>
                <w:szCs w:val="20"/>
              </w:rPr>
              <w:t>AC 6 dense surf 100/150</w:t>
            </w:r>
          </w:p>
        </w:tc>
        <w:tc>
          <w:tcPr>
            <w:tcW w:w="2583" w:type="dxa"/>
            <w:tcBorders>
              <w:bottom w:val="single" w:sz="4" w:space="0" w:color="auto"/>
            </w:tcBorders>
            <w:shd w:val="clear" w:color="auto" w:fill="FBE4D5"/>
          </w:tcPr>
          <w:p w14:paraId="17F6112B" w14:textId="77777777" w:rsidR="00F001B2" w:rsidRPr="009A6988" w:rsidRDefault="00E657F5" w:rsidP="00455EF9">
            <w:pPr>
              <w:rPr>
                <w:sz w:val="20"/>
                <w:szCs w:val="20"/>
              </w:rPr>
            </w:pPr>
            <w:r w:rsidRPr="009A6988">
              <w:rPr>
                <w:sz w:val="20"/>
                <w:szCs w:val="20"/>
              </w:rPr>
              <w:t>25</w:t>
            </w:r>
          </w:p>
        </w:tc>
      </w:tr>
      <w:tr w:rsidR="00B933CA" w14:paraId="28759536" w14:textId="77777777" w:rsidTr="00232C05">
        <w:tc>
          <w:tcPr>
            <w:tcW w:w="1657" w:type="dxa"/>
            <w:vMerge/>
            <w:shd w:val="clear" w:color="auto" w:fill="B4C6E7"/>
            <w:vAlign w:val="center"/>
          </w:tcPr>
          <w:p w14:paraId="733D6F80" w14:textId="77777777" w:rsidR="00F001B2" w:rsidRPr="009A6988" w:rsidRDefault="00F001B2" w:rsidP="00455EF9">
            <w:pPr>
              <w:rPr>
                <w:sz w:val="20"/>
                <w:szCs w:val="20"/>
              </w:rPr>
            </w:pPr>
          </w:p>
        </w:tc>
        <w:tc>
          <w:tcPr>
            <w:tcW w:w="1856" w:type="dxa"/>
            <w:vMerge/>
            <w:tcBorders>
              <w:bottom w:val="single" w:sz="4" w:space="0" w:color="auto"/>
            </w:tcBorders>
            <w:shd w:val="clear" w:color="auto" w:fill="B4C6E7"/>
          </w:tcPr>
          <w:p w14:paraId="16EB73FE" w14:textId="77777777" w:rsidR="00F001B2" w:rsidRPr="00810BA6" w:rsidRDefault="00F001B2" w:rsidP="00455EF9">
            <w:pPr>
              <w:rPr>
                <w:b/>
                <w:bCs/>
                <w:sz w:val="20"/>
                <w:szCs w:val="20"/>
              </w:rPr>
            </w:pPr>
          </w:p>
        </w:tc>
        <w:tc>
          <w:tcPr>
            <w:tcW w:w="5503" w:type="dxa"/>
            <w:gridSpan w:val="2"/>
            <w:tcBorders>
              <w:bottom w:val="single" w:sz="4" w:space="0" w:color="auto"/>
            </w:tcBorders>
            <w:shd w:val="clear" w:color="auto" w:fill="FBE4D5"/>
          </w:tcPr>
          <w:p w14:paraId="61CD9FBA" w14:textId="77777777" w:rsidR="00F001B2" w:rsidRPr="00DD37E3" w:rsidRDefault="00E657F5" w:rsidP="00DD37E3">
            <w:pPr>
              <w:jc w:val="center"/>
              <w:rPr>
                <w:b/>
                <w:bCs/>
                <w:sz w:val="20"/>
                <w:szCs w:val="20"/>
              </w:rPr>
            </w:pPr>
            <w:r w:rsidRPr="00DD37E3">
              <w:rPr>
                <w:b/>
                <w:bCs/>
                <w:sz w:val="20"/>
                <w:szCs w:val="20"/>
              </w:rPr>
              <w:t>Or</w:t>
            </w:r>
          </w:p>
        </w:tc>
      </w:tr>
      <w:tr w:rsidR="00B933CA" w14:paraId="6E13C03E" w14:textId="77777777" w:rsidTr="00232C05">
        <w:tc>
          <w:tcPr>
            <w:tcW w:w="1657" w:type="dxa"/>
            <w:vMerge/>
            <w:shd w:val="clear" w:color="auto" w:fill="B4C6E7"/>
            <w:vAlign w:val="center"/>
          </w:tcPr>
          <w:p w14:paraId="41EA0F02" w14:textId="77777777" w:rsidR="00F001B2" w:rsidRPr="009A6988" w:rsidRDefault="00F001B2" w:rsidP="00455EF9">
            <w:pPr>
              <w:rPr>
                <w:sz w:val="20"/>
                <w:szCs w:val="20"/>
              </w:rPr>
            </w:pPr>
          </w:p>
        </w:tc>
        <w:tc>
          <w:tcPr>
            <w:tcW w:w="1856" w:type="dxa"/>
            <w:vMerge/>
            <w:tcBorders>
              <w:bottom w:val="single" w:sz="12" w:space="0" w:color="auto"/>
            </w:tcBorders>
            <w:shd w:val="clear" w:color="auto" w:fill="B4C6E7"/>
          </w:tcPr>
          <w:p w14:paraId="4B4EAA20" w14:textId="77777777" w:rsidR="00F001B2" w:rsidRPr="00810BA6" w:rsidRDefault="00F001B2" w:rsidP="00455EF9">
            <w:pPr>
              <w:rPr>
                <w:b/>
                <w:bCs/>
                <w:sz w:val="20"/>
                <w:szCs w:val="20"/>
              </w:rPr>
            </w:pPr>
          </w:p>
        </w:tc>
        <w:tc>
          <w:tcPr>
            <w:tcW w:w="2920" w:type="dxa"/>
            <w:tcBorders>
              <w:bottom w:val="single" w:sz="12" w:space="0" w:color="auto"/>
            </w:tcBorders>
            <w:shd w:val="clear" w:color="auto" w:fill="FBE4D5"/>
          </w:tcPr>
          <w:p w14:paraId="23E164C5" w14:textId="77777777" w:rsidR="00F001B2" w:rsidRPr="009A6988" w:rsidRDefault="00E657F5" w:rsidP="00455EF9">
            <w:pPr>
              <w:rPr>
                <w:sz w:val="20"/>
                <w:szCs w:val="20"/>
              </w:rPr>
            </w:pPr>
            <w:r w:rsidRPr="009A6988">
              <w:rPr>
                <w:sz w:val="20"/>
                <w:szCs w:val="20"/>
              </w:rPr>
              <w:t>AC</w:t>
            </w:r>
            <w:r w:rsidR="00AB0476">
              <w:rPr>
                <w:sz w:val="20"/>
                <w:szCs w:val="20"/>
              </w:rPr>
              <w:t xml:space="preserve"> </w:t>
            </w:r>
            <w:r w:rsidRPr="009A6988">
              <w:rPr>
                <w:sz w:val="20"/>
                <w:szCs w:val="20"/>
              </w:rPr>
              <w:t>10 close surf 100/150 (cycle</w:t>
            </w:r>
            <w:r w:rsidR="00807337">
              <w:rPr>
                <w:sz w:val="20"/>
                <w:szCs w:val="20"/>
              </w:rPr>
              <w:t>track</w:t>
            </w:r>
            <w:r w:rsidRPr="009A6988">
              <w:rPr>
                <w:sz w:val="20"/>
                <w:szCs w:val="20"/>
              </w:rPr>
              <w:t xml:space="preserve"> or shared use)</w:t>
            </w:r>
          </w:p>
        </w:tc>
        <w:tc>
          <w:tcPr>
            <w:tcW w:w="2583" w:type="dxa"/>
            <w:tcBorders>
              <w:bottom w:val="single" w:sz="12" w:space="0" w:color="auto"/>
            </w:tcBorders>
            <w:shd w:val="clear" w:color="auto" w:fill="FBE4D5"/>
          </w:tcPr>
          <w:p w14:paraId="18E39690" w14:textId="77777777" w:rsidR="00F001B2" w:rsidRPr="009A6988" w:rsidRDefault="00E657F5" w:rsidP="00455EF9">
            <w:pPr>
              <w:rPr>
                <w:sz w:val="20"/>
                <w:szCs w:val="20"/>
              </w:rPr>
            </w:pPr>
            <w:r w:rsidRPr="009A6988">
              <w:rPr>
                <w:sz w:val="20"/>
                <w:szCs w:val="20"/>
              </w:rPr>
              <w:t>30</w:t>
            </w:r>
          </w:p>
        </w:tc>
      </w:tr>
      <w:tr w:rsidR="00B933CA" w14:paraId="7EF7A131" w14:textId="77777777" w:rsidTr="00232C05">
        <w:tc>
          <w:tcPr>
            <w:tcW w:w="1657" w:type="dxa"/>
            <w:vMerge/>
            <w:shd w:val="clear" w:color="auto" w:fill="B4C6E7"/>
            <w:vAlign w:val="center"/>
          </w:tcPr>
          <w:p w14:paraId="06C2F1A1" w14:textId="77777777" w:rsidR="00F001B2" w:rsidRPr="009A6988" w:rsidRDefault="00F001B2" w:rsidP="00455EF9">
            <w:pPr>
              <w:rPr>
                <w:sz w:val="20"/>
                <w:szCs w:val="20"/>
              </w:rPr>
            </w:pPr>
          </w:p>
        </w:tc>
        <w:tc>
          <w:tcPr>
            <w:tcW w:w="1856" w:type="dxa"/>
            <w:vMerge w:val="restart"/>
            <w:tcBorders>
              <w:top w:val="single" w:sz="12" w:space="0" w:color="auto"/>
            </w:tcBorders>
            <w:shd w:val="clear" w:color="auto" w:fill="B4C6E7"/>
          </w:tcPr>
          <w:p w14:paraId="7FBC5E90" w14:textId="77777777" w:rsidR="00F001B2" w:rsidRPr="00810BA6" w:rsidRDefault="00E657F5" w:rsidP="00455EF9">
            <w:pPr>
              <w:rPr>
                <w:b/>
                <w:bCs/>
                <w:sz w:val="20"/>
                <w:szCs w:val="20"/>
              </w:rPr>
            </w:pPr>
            <w:r w:rsidRPr="00810BA6">
              <w:rPr>
                <w:b/>
                <w:bCs/>
                <w:sz w:val="20"/>
                <w:szCs w:val="20"/>
              </w:rPr>
              <w:t>Binder Course</w:t>
            </w:r>
          </w:p>
        </w:tc>
        <w:tc>
          <w:tcPr>
            <w:tcW w:w="2920" w:type="dxa"/>
            <w:tcBorders>
              <w:top w:val="single" w:sz="12" w:space="0" w:color="auto"/>
              <w:bottom w:val="single" w:sz="4" w:space="0" w:color="auto"/>
            </w:tcBorders>
            <w:shd w:val="clear" w:color="auto" w:fill="FBE4D5"/>
          </w:tcPr>
          <w:p w14:paraId="7884B98A" w14:textId="77777777" w:rsidR="00F001B2" w:rsidRPr="009A6988" w:rsidRDefault="00E657F5" w:rsidP="00455EF9">
            <w:pPr>
              <w:rPr>
                <w:sz w:val="20"/>
                <w:szCs w:val="20"/>
              </w:rPr>
            </w:pPr>
            <w:r w:rsidRPr="009A6988">
              <w:rPr>
                <w:sz w:val="20"/>
                <w:szCs w:val="20"/>
              </w:rPr>
              <w:t>Clause 948 H</w:t>
            </w:r>
            <w:r w:rsidR="00D11AF6">
              <w:rPr>
                <w:sz w:val="20"/>
                <w:szCs w:val="20"/>
              </w:rPr>
              <w:t>1-H3</w:t>
            </w:r>
            <w:r w:rsidRPr="009A6988">
              <w:rPr>
                <w:sz w:val="20"/>
                <w:szCs w:val="20"/>
              </w:rPr>
              <w:t xml:space="preserve"> or </w:t>
            </w:r>
            <w:r w:rsidR="00D11AF6">
              <w:rPr>
                <w:sz w:val="20"/>
                <w:szCs w:val="20"/>
              </w:rPr>
              <w:t>HB</w:t>
            </w:r>
            <w:r w:rsidRPr="009A6988">
              <w:rPr>
                <w:sz w:val="20"/>
                <w:szCs w:val="20"/>
              </w:rPr>
              <w:t>M C3/4</w:t>
            </w:r>
          </w:p>
        </w:tc>
        <w:tc>
          <w:tcPr>
            <w:tcW w:w="2583" w:type="dxa"/>
            <w:tcBorders>
              <w:top w:val="single" w:sz="12" w:space="0" w:color="auto"/>
              <w:bottom w:val="single" w:sz="4" w:space="0" w:color="auto"/>
            </w:tcBorders>
            <w:shd w:val="clear" w:color="auto" w:fill="FBE4D5"/>
          </w:tcPr>
          <w:p w14:paraId="16CECD75" w14:textId="77777777" w:rsidR="00F001B2" w:rsidRPr="009A6988" w:rsidRDefault="00E657F5" w:rsidP="00455EF9">
            <w:pPr>
              <w:rPr>
                <w:sz w:val="20"/>
                <w:szCs w:val="20"/>
              </w:rPr>
            </w:pPr>
            <w:r w:rsidRPr="009A6988">
              <w:rPr>
                <w:sz w:val="20"/>
                <w:szCs w:val="20"/>
              </w:rPr>
              <w:t>340 (2-4% CBR)</w:t>
            </w:r>
          </w:p>
          <w:p w14:paraId="16ACD1C1" w14:textId="77777777" w:rsidR="00F001B2" w:rsidRPr="009A6988" w:rsidRDefault="00E657F5" w:rsidP="00455EF9">
            <w:pPr>
              <w:rPr>
                <w:sz w:val="20"/>
                <w:szCs w:val="20"/>
              </w:rPr>
            </w:pPr>
            <w:r w:rsidRPr="009A6988">
              <w:rPr>
                <w:sz w:val="20"/>
                <w:szCs w:val="20"/>
              </w:rPr>
              <w:t>285 (&gt;4% CBR)</w:t>
            </w:r>
          </w:p>
        </w:tc>
      </w:tr>
      <w:tr w:rsidR="00B933CA" w14:paraId="756F7B35" w14:textId="77777777" w:rsidTr="00232C05">
        <w:tc>
          <w:tcPr>
            <w:tcW w:w="1657" w:type="dxa"/>
            <w:vMerge/>
            <w:shd w:val="clear" w:color="auto" w:fill="B4C6E7"/>
            <w:vAlign w:val="center"/>
          </w:tcPr>
          <w:p w14:paraId="7CEFCAF6" w14:textId="77777777" w:rsidR="00F001B2" w:rsidRPr="009A6988" w:rsidRDefault="00F001B2" w:rsidP="00455EF9">
            <w:pPr>
              <w:rPr>
                <w:sz w:val="20"/>
                <w:szCs w:val="20"/>
              </w:rPr>
            </w:pPr>
          </w:p>
        </w:tc>
        <w:tc>
          <w:tcPr>
            <w:tcW w:w="1856" w:type="dxa"/>
            <w:vMerge/>
            <w:shd w:val="clear" w:color="auto" w:fill="B4C6E7"/>
          </w:tcPr>
          <w:p w14:paraId="164A2A71" w14:textId="77777777" w:rsidR="00F001B2" w:rsidRPr="00810BA6" w:rsidRDefault="00F001B2" w:rsidP="00455EF9">
            <w:pPr>
              <w:rPr>
                <w:b/>
                <w:bCs/>
                <w:sz w:val="20"/>
                <w:szCs w:val="20"/>
              </w:rPr>
            </w:pPr>
          </w:p>
        </w:tc>
        <w:tc>
          <w:tcPr>
            <w:tcW w:w="5503" w:type="dxa"/>
            <w:gridSpan w:val="2"/>
            <w:tcBorders>
              <w:bottom w:val="single" w:sz="4" w:space="0" w:color="auto"/>
            </w:tcBorders>
            <w:shd w:val="clear" w:color="auto" w:fill="FBE4D5"/>
          </w:tcPr>
          <w:p w14:paraId="364AFA42" w14:textId="77777777" w:rsidR="00F001B2" w:rsidRPr="00DD37E3" w:rsidRDefault="00E657F5" w:rsidP="00DD37E3">
            <w:pPr>
              <w:jc w:val="center"/>
              <w:rPr>
                <w:b/>
                <w:bCs/>
                <w:sz w:val="20"/>
                <w:szCs w:val="20"/>
              </w:rPr>
            </w:pPr>
            <w:r w:rsidRPr="00DD37E3">
              <w:rPr>
                <w:b/>
                <w:bCs/>
                <w:sz w:val="20"/>
                <w:szCs w:val="20"/>
              </w:rPr>
              <w:t>Or</w:t>
            </w:r>
          </w:p>
        </w:tc>
      </w:tr>
      <w:tr w:rsidR="00B933CA" w14:paraId="11C2066D" w14:textId="77777777" w:rsidTr="00232C05">
        <w:tc>
          <w:tcPr>
            <w:tcW w:w="1657" w:type="dxa"/>
            <w:vMerge/>
            <w:shd w:val="clear" w:color="auto" w:fill="B4C6E7"/>
            <w:vAlign w:val="center"/>
          </w:tcPr>
          <w:p w14:paraId="50D69A29" w14:textId="77777777" w:rsidR="00F001B2" w:rsidRPr="009A6988" w:rsidRDefault="00F001B2" w:rsidP="00455EF9">
            <w:pPr>
              <w:rPr>
                <w:sz w:val="20"/>
                <w:szCs w:val="20"/>
              </w:rPr>
            </w:pPr>
          </w:p>
        </w:tc>
        <w:tc>
          <w:tcPr>
            <w:tcW w:w="1856" w:type="dxa"/>
            <w:vMerge/>
            <w:tcBorders>
              <w:bottom w:val="single" w:sz="4" w:space="0" w:color="auto"/>
            </w:tcBorders>
            <w:shd w:val="clear" w:color="auto" w:fill="B4C6E7"/>
          </w:tcPr>
          <w:p w14:paraId="53E5051D" w14:textId="77777777" w:rsidR="00F001B2" w:rsidRPr="00810BA6" w:rsidRDefault="00F001B2" w:rsidP="00455EF9">
            <w:pPr>
              <w:rPr>
                <w:b/>
                <w:bCs/>
                <w:sz w:val="20"/>
                <w:szCs w:val="20"/>
              </w:rPr>
            </w:pPr>
          </w:p>
        </w:tc>
        <w:tc>
          <w:tcPr>
            <w:tcW w:w="2920" w:type="dxa"/>
            <w:tcBorders>
              <w:bottom w:val="single" w:sz="4" w:space="0" w:color="auto"/>
            </w:tcBorders>
            <w:shd w:val="clear" w:color="auto" w:fill="FBE4D5"/>
          </w:tcPr>
          <w:p w14:paraId="14020ACC" w14:textId="77777777" w:rsidR="00F001B2" w:rsidRPr="009A6988" w:rsidRDefault="00E657F5" w:rsidP="00455EF9">
            <w:pPr>
              <w:rPr>
                <w:sz w:val="20"/>
                <w:szCs w:val="20"/>
              </w:rPr>
            </w:pPr>
            <w:r w:rsidRPr="009A6988">
              <w:rPr>
                <w:sz w:val="20"/>
                <w:szCs w:val="20"/>
              </w:rPr>
              <w:t>AC 20 dense bin 100/150</w:t>
            </w:r>
          </w:p>
        </w:tc>
        <w:tc>
          <w:tcPr>
            <w:tcW w:w="2583" w:type="dxa"/>
            <w:tcBorders>
              <w:bottom w:val="single" w:sz="4" w:space="0" w:color="auto"/>
            </w:tcBorders>
            <w:shd w:val="clear" w:color="auto" w:fill="FBE4D5"/>
          </w:tcPr>
          <w:p w14:paraId="2D64DEBF" w14:textId="77777777" w:rsidR="00F001B2" w:rsidRPr="009A6988" w:rsidRDefault="00E657F5" w:rsidP="00455EF9">
            <w:pPr>
              <w:rPr>
                <w:sz w:val="20"/>
                <w:szCs w:val="20"/>
              </w:rPr>
            </w:pPr>
            <w:r w:rsidRPr="009A6988">
              <w:rPr>
                <w:sz w:val="20"/>
                <w:szCs w:val="20"/>
              </w:rPr>
              <w:t>90</w:t>
            </w:r>
          </w:p>
        </w:tc>
      </w:tr>
      <w:tr w:rsidR="00B933CA" w14:paraId="1CA9ABFD" w14:textId="77777777" w:rsidTr="00232C05">
        <w:tc>
          <w:tcPr>
            <w:tcW w:w="1657" w:type="dxa"/>
            <w:vMerge/>
            <w:shd w:val="clear" w:color="auto" w:fill="B4C6E7"/>
            <w:vAlign w:val="center"/>
          </w:tcPr>
          <w:p w14:paraId="5B7D508C" w14:textId="77777777" w:rsidR="00F001B2" w:rsidRPr="009A6988" w:rsidRDefault="00F001B2" w:rsidP="00455EF9">
            <w:pPr>
              <w:rPr>
                <w:sz w:val="20"/>
                <w:szCs w:val="20"/>
              </w:rPr>
            </w:pPr>
          </w:p>
        </w:tc>
        <w:tc>
          <w:tcPr>
            <w:tcW w:w="1856" w:type="dxa"/>
            <w:tcBorders>
              <w:bottom w:val="single" w:sz="4" w:space="0" w:color="auto"/>
            </w:tcBorders>
            <w:shd w:val="clear" w:color="auto" w:fill="B4C6E7"/>
          </w:tcPr>
          <w:p w14:paraId="7187F99A" w14:textId="77777777" w:rsidR="00F001B2" w:rsidRPr="00810BA6" w:rsidRDefault="00F001B2" w:rsidP="00DD37E3">
            <w:pPr>
              <w:jc w:val="center"/>
              <w:rPr>
                <w:b/>
                <w:bCs/>
                <w:sz w:val="20"/>
                <w:szCs w:val="20"/>
                <w:u w:val="single"/>
              </w:rPr>
            </w:pPr>
          </w:p>
        </w:tc>
        <w:tc>
          <w:tcPr>
            <w:tcW w:w="5503" w:type="dxa"/>
            <w:gridSpan w:val="2"/>
            <w:tcBorders>
              <w:bottom w:val="single" w:sz="4" w:space="0" w:color="auto"/>
            </w:tcBorders>
            <w:shd w:val="clear" w:color="auto" w:fill="FBE4D5"/>
          </w:tcPr>
          <w:p w14:paraId="087F749F" w14:textId="77777777" w:rsidR="00F001B2" w:rsidRPr="00DD37E3" w:rsidRDefault="00E657F5" w:rsidP="00DD37E3">
            <w:pPr>
              <w:jc w:val="center"/>
              <w:rPr>
                <w:b/>
                <w:bCs/>
                <w:sz w:val="20"/>
                <w:szCs w:val="20"/>
                <w:u w:val="single"/>
              </w:rPr>
            </w:pPr>
            <w:r w:rsidRPr="00DD37E3">
              <w:rPr>
                <w:b/>
                <w:bCs/>
                <w:sz w:val="20"/>
                <w:szCs w:val="20"/>
                <w:u w:val="single"/>
              </w:rPr>
              <w:t>And</w:t>
            </w:r>
          </w:p>
        </w:tc>
      </w:tr>
      <w:tr w:rsidR="00B933CA" w14:paraId="3506D2C0" w14:textId="77777777" w:rsidTr="00232C05">
        <w:tc>
          <w:tcPr>
            <w:tcW w:w="1657" w:type="dxa"/>
            <w:vMerge/>
            <w:tcBorders>
              <w:bottom w:val="single" w:sz="12" w:space="0" w:color="auto"/>
            </w:tcBorders>
            <w:shd w:val="clear" w:color="auto" w:fill="B4C6E7"/>
            <w:vAlign w:val="center"/>
          </w:tcPr>
          <w:p w14:paraId="3437D38A" w14:textId="77777777" w:rsidR="00F001B2" w:rsidRPr="009A6988" w:rsidRDefault="00F001B2" w:rsidP="00455EF9">
            <w:pPr>
              <w:rPr>
                <w:sz w:val="20"/>
                <w:szCs w:val="20"/>
              </w:rPr>
            </w:pPr>
          </w:p>
        </w:tc>
        <w:tc>
          <w:tcPr>
            <w:tcW w:w="1856" w:type="dxa"/>
            <w:tcBorders>
              <w:bottom w:val="single" w:sz="12" w:space="0" w:color="auto"/>
            </w:tcBorders>
            <w:shd w:val="clear" w:color="auto" w:fill="B4C6E7"/>
          </w:tcPr>
          <w:p w14:paraId="5CBB2BAC" w14:textId="77777777" w:rsidR="00F001B2" w:rsidRPr="00810BA6" w:rsidRDefault="00E657F5" w:rsidP="00455EF9">
            <w:pPr>
              <w:rPr>
                <w:b/>
                <w:bCs/>
                <w:sz w:val="20"/>
                <w:szCs w:val="20"/>
              </w:rPr>
            </w:pPr>
            <w:r w:rsidRPr="00810BA6">
              <w:rPr>
                <w:b/>
                <w:bCs/>
                <w:sz w:val="20"/>
                <w:szCs w:val="20"/>
              </w:rPr>
              <w:t>Sub-base</w:t>
            </w:r>
          </w:p>
        </w:tc>
        <w:tc>
          <w:tcPr>
            <w:tcW w:w="2920" w:type="dxa"/>
            <w:tcBorders>
              <w:bottom w:val="single" w:sz="12" w:space="0" w:color="auto"/>
            </w:tcBorders>
            <w:shd w:val="clear" w:color="auto" w:fill="FBE4D5"/>
          </w:tcPr>
          <w:p w14:paraId="13875DD2" w14:textId="77777777" w:rsidR="00F001B2" w:rsidRPr="009A6988" w:rsidRDefault="00E657F5" w:rsidP="00455EF9">
            <w:pPr>
              <w:rPr>
                <w:sz w:val="20"/>
                <w:szCs w:val="20"/>
              </w:rPr>
            </w:pPr>
            <w:r w:rsidRPr="009A6988">
              <w:rPr>
                <w:sz w:val="20"/>
                <w:szCs w:val="20"/>
              </w:rPr>
              <w:t>Type 1 sub-base</w:t>
            </w:r>
          </w:p>
        </w:tc>
        <w:tc>
          <w:tcPr>
            <w:tcW w:w="2583" w:type="dxa"/>
            <w:tcBorders>
              <w:bottom w:val="single" w:sz="12" w:space="0" w:color="auto"/>
            </w:tcBorders>
            <w:shd w:val="clear" w:color="auto" w:fill="FBE4D5"/>
          </w:tcPr>
          <w:p w14:paraId="4B271030" w14:textId="77777777" w:rsidR="00F001B2" w:rsidRPr="009A6988" w:rsidRDefault="00E657F5" w:rsidP="00455EF9">
            <w:pPr>
              <w:rPr>
                <w:sz w:val="20"/>
                <w:szCs w:val="20"/>
              </w:rPr>
            </w:pPr>
            <w:r w:rsidRPr="009A6988">
              <w:rPr>
                <w:sz w:val="20"/>
                <w:szCs w:val="20"/>
              </w:rPr>
              <w:t>320 (2.5-4% CBR)</w:t>
            </w:r>
          </w:p>
          <w:p w14:paraId="34A4E58B" w14:textId="77777777" w:rsidR="00F001B2" w:rsidRPr="009A6988" w:rsidRDefault="00E657F5" w:rsidP="00455EF9">
            <w:pPr>
              <w:rPr>
                <w:sz w:val="20"/>
                <w:szCs w:val="20"/>
              </w:rPr>
            </w:pPr>
            <w:r w:rsidRPr="009A6988">
              <w:rPr>
                <w:sz w:val="20"/>
                <w:szCs w:val="20"/>
              </w:rPr>
              <w:t>210 (&gt;4% CBR)</w:t>
            </w:r>
          </w:p>
        </w:tc>
      </w:tr>
    </w:tbl>
    <w:p w14:paraId="61CFCDA4" w14:textId="77777777" w:rsidR="00D04EB2" w:rsidRDefault="00E657F5" w:rsidP="00D04EB2">
      <w:pPr>
        <w:pStyle w:val="Caption"/>
        <w:jc w:val="center"/>
      </w:pPr>
      <w:bookmarkStart w:id="73" w:name="_Toc119569300"/>
      <w:bookmarkStart w:id="74" w:name="_Toc120010320"/>
      <w:r>
        <w:t xml:space="preserve">Table </w:t>
      </w:r>
      <w:r w:rsidR="00737389">
        <w:fldChar w:fldCharType="begin"/>
      </w:r>
      <w:r>
        <w:instrText xml:space="preserve"> SEQ Table \* ARABIC </w:instrText>
      </w:r>
      <w:r w:rsidR="00737389">
        <w:fldChar w:fldCharType="separate"/>
      </w:r>
      <w:r w:rsidR="00737389">
        <w:rPr>
          <w:noProof/>
        </w:rPr>
        <w:t>13</w:t>
      </w:r>
      <w:r w:rsidR="00737389">
        <w:rPr>
          <w:noProof/>
        </w:rPr>
        <w:fldChar w:fldCharType="end"/>
      </w:r>
      <w:r>
        <w:t xml:space="preserve"> – Footway and Cycle</w:t>
      </w:r>
      <w:r w:rsidR="00807337">
        <w:t>track</w:t>
      </w:r>
      <w:r>
        <w:t xml:space="preserve"> s</w:t>
      </w:r>
      <w:r w:rsidRPr="00532974">
        <w:t xml:space="preserve">ub-base, </w:t>
      </w:r>
      <w:r>
        <w:t>b</w:t>
      </w:r>
      <w:r w:rsidRPr="00532974">
        <w:t xml:space="preserve">ase and </w:t>
      </w:r>
      <w:r>
        <w:t>s</w:t>
      </w:r>
      <w:r w:rsidRPr="00532974">
        <w:t>urfacing materials and thicknesses</w:t>
      </w:r>
      <w:bookmarkEnd w:id="73"/>
      <w:bookmarkEnd w:id="74"/>
    </w:p>
    <w:p w14:paraId="7C10E7C3" w14:textId="77777777" w:rsidR="00F001B2" w:rsidRDefault="00E657F5" w:rsidP="00F001B2">
      <w:r>
        <w:t xml:space="preserve">Note: When using </w:t>
      </w:r>
      <w:r w:rsidR="00F556E8">
        <w:t xml:space="preserve">MCHW </w:t>
      </w:r>
      <w:r>
        <w:t>Clause 948 CRBM</w:t>
      </w:r>
      <w:r w:rsidR="00D04EB2">
        <w:t>, CBGM</w:t>
      </w:r>
      <w:r>
        <w:t xml:space="preserve"> or </w:t>
      </w:r>
      <w:r w:rsidR="00D11AF6">
        <w:t>HB</w:t>
      </w:r>
      <w:r>
        <w:t xml:space="preserve">M materials a combined base/binder and sub-base has been adopted, based on a variation of the design guidance for low traffic roads contained within TRL611. When adopting this approach, the use of an unbound sub-base is unnecessary, and the </w:t>
      </w:r>
      <w:r w:rsidR="007330BE">
        <w:t>C</w:t>
      </w:r>
      <w:r>
        <w:t>lause 948/</w:t>
      </w:r>
      <w:r w:rsidR="00D11AF6">
        <w:t>HB</w:t>
      </w:r>
      <w:r>
        <w:t>M material can be laid directly atop of the sub-grade.</w:t>
      </w:r>
    </w:p>
    <w:p w14:paraId="2F982637" w14:textId="77777777" w:rsidR="000E31D7" w:rsidRPr="00085081" w:rsidRDefault="00E657F5" w:rsidP="00085081">
      <w:r>
        <w:t xml:space="preserve">The </w:t>
      </w:r>
      <w:r w:rsidR="00810BA6">
        <w:t xml:space="preserve">loading class shall be subject to agreement with the </w:t>
      </w:r>
      <w:r w:rsidR="00041A2E">
        <w:t>Engineer</w:t>
      </w:r>
      <w:r w:rsidR="00810BA6">
        <w:t xml:space="preserve">, at the </w:t>
      </w:r>
      <w:r w:rsidR="00041A2E">
        <w:t xml:space="preserve">Engineer's </w:t>
      </w:r>
      <w:r w:rsidR="00810BA6">
        <w:t>discretion areas deemed to be likely subject to repeated vehicle overrun such as parking, then a higher loading class may be selected.</w:t>
      </w:r>
    </w:p>
    <w:p w14:paraId="7AFEE7EA" w14:textId="77777777" w:rsidR="000E31D7" w:rsidRDefault="00E657F5" w:rsidP="000E31D7">
      <w:pPr>
        <w:pStyle w:val="Heading2"/>
      </w:pPr>
      <w:r>
        <w:t>Laying Sub-base</w:t>
      </w:r>
    </w:p>
    <w:p w14:paraId="2013F758" w14:textId="77777777" w:rsidR="000F6763" w:rsidRPr="000F6763" w:rsidRDefault="00E657F5" w:rsidP="000F6763">
      <w:r w:rsidRPr="000F6763">
        <w:t xml:space="preserve">The sub-base shall be constructed in </w:t>
      </w:r>
      <w:r w:rsidR="005048A6">
        <w:t>such manner</w:t>
      </w:r>
      <w:r w:rsidRPr="000F6763">
        <w:t>:</w:t>
      </w:r>
    </w:p>
    <w:p w14:paraId="39049DD9" w14:textId="77777777" w:rsidR="000F6763" w:rsidRPr="000F6763" w:rsidRDefault="00E657F5" w:rsidP="00876477">
      <w:pPr>
        <w:pStyle w:val="ListParagraph"/>
        <w:numPr>
          <w:ilvl w:val="0"/>
          <w:numId w:val="10"/>
        </w:numPr>
      </w:pPr>
      <w:r w:rsidRPr="000F6763">
        <w:t>Compaction shall be carried out with a roller weighing not less than 2.5 tonnes.</w:t>
      </w:r>
    </w:p>
    <w:p w14:paraId="01284E20" w14:textId="77777777" w:rsidR="000F6763" w:rsidRPr="000F6763" w:rsidRDefault="00E657F5" w:rsidP="00876477">
      <w:pPr>
        <w:pStyle w:val="ListParagraph"/>
        <w:numPr>
          <w:ilvl w:val="0"/>
          <w:numId w:val="10"/>
        </w:numPr>
      </w:pPr>
      <w:r w:rsidRPr="000F6763">
        <w:t>The thickness of layer after compaction shall be not less than 100mm.</w:t>
      </w:r>
    </w:p>
    <w:p w14:paraId="0249CF43" w14:textId="77777777" w:rsidR="00085081" w:rsidRDefault="00E657F5" w:rsidP="00876477">
      <w:pPr>
        <w:pStyle w:val="ListParagraph"/>
        <w:numPr>
          <w:ilvl w:val="0"/>
          <w:numId w:val="10"/>
        </w:numPr>
      </w:pPr>
      <w:r w:rsidRPr="000F6763">
        <w:t>The surface of the sub-base shall be within +0 -20mm of the specified level.</w:t>
      </w:r>
    </w:p>
    <w:p w14:paraId="64A0E234" w14:textId="77777777" w:rsidR="000E31D7" w:rsidRDefault="00E657F5" w:rsidP="000E31D7">
      <w:pPr>
        <w:pStyle w:val="Heading2"/>
      </w:pPr>
      <w:r>
        <w:t>Laying Binder</w:t>
      </w:r>
      <w:r w:rsidRPr="006F3466">
        <w:t xml:space="preserve"> Course</w:t>
      </w:r>
    </w:p>
    <w:p w14:paraId="0B12D852" w14:textId="77777777" w:rsidR="009437C0" w:rsidRPr="009437C0" w:rsidRDefault="00E657F5" w:rsidP="009437C0">
      <w:r w:rsidRPr="009437C0">
        <w:t>The sub-base</w:t>
      </w:r>
      <w:r>
        <w:t xml:space="preserve"> or sub-grade</w:t>
      </w:r>
      <w:r w:rsidRPr="009437C0">
        <w:t xml:space="preserve"> surface shall be clean and free from standing water.</w:t>
      </w:r>
    </w:p>
    <w:p w14:paraId="6D016A79" w14:textId="77777777" w:rsidR="00892454" w:rsidRDefault="00E657F5" w:rsidP="009437C0">
      <w:r w:rsidRPr="009437C0">
        <w:t>The material shall be covered with tarpaulins whilst being delivered and whilst stockpiled on</w:t>
      </w:r>
      <w:r w:rsidR="00FC340F">
        <w:t xml:space="preserve"> site.</w:t>
      </w:r>
    </w:p>
    <w:p w14:paraId="6A5E95FF" w14:textId="77777777" w:rsidR="009437C0" w:rsidRPr="009437C0" w:rsidRDefault="00E657F5" w:rsidP="009437C0">
      <w:r w:rsidRPr="009437C0">
        <w:t>The material shall be compacted by rolling with a 2.5 tonne roller or approved vibrating roller</w:t>
      </w:r>
      <w:r>
        <w:t xml:space="preserve"> </w:t>
      </w:r>
      <w:r w:rsidRPr="009437C0">
        <w:t>until subsequent passes result in no further roller marks.</w:t>
      </w:r>
    </w:p>
    <w:p w14:paraId="49AD4329" w14:textId="77777777" w:rsidR="009437C0" w:rsidRPr="009437C0" w:rsidRDefault="00E657F5" w:rsidP="009437C0">
      <w:r w:rsidRPr="009437C0">
        <w:t>Joints shall be treated in such a way as to ensure adequate compaction and bonding.</w:t>
      </w:r>
    </w:p>
    <w:p w14:paraId="16F64879" w14:textId="77777777" w:rsidR="000E31D7" w:rsidRDefault="00E657F5" w:rsidP="009437C0">
      <w:r w:rsidRPr="009437C0">
        <w:t>The finished surface shall be within +0 or -6mm from the true surface level.</w:t>
      </w:r>
    </w:p>
    <w:p w14:paraId="014715DD" w14:textId="77777777" w:rsidR="006F3466" w:rsidRDefault="00E657F5" w:rsidP="006F3466">
      <w:pPr>
        <w:pStyle w:val="Heading2"/>
      </w:pPr>
      <w:r>
        <w:t xml:space="preserve">Laying </w:t>
      </w:r>
      <w:r w:rsidRPr="006F3466">
        <w:t>Surface Course</w:t>
      </w:r>
    </w:p>
    <w:p w14:paraId="1F1E72D7" w14:textId="77777777" w:rsidR="001D7BE8" w:rsidRPr="001D7BE8" w:rsidRDefault="00E657F5" w:rsidP="001D7BE8">
      <w:r w:rsidRPr="001D7BE8">
        <w:t>The start and finish of the surface course and all construction joints shall be properly 'keyed-in'</w:t>
      </w:r>
      <w:r>
        <w:t xml:space="preserve"> </w:t>
      </w:r>
      <w:r w:rsidRPr="001D7BE8">
        <w:t>to the adjacent surface.</w:t>
      </w:r>
    </w:p>
    <w:p w14:paraId="6E285462" w14:textId="77777777" w:rsidR="001D7BE8" w:rsidRDefault="00E657F5" w:rsidP="001D7BE8">
      <w:r w:rsidRPr="001D7BE8">
        <w:t>The material shall be covered with tarpaulins during delivery and whilst stockpiled on site.</w:t>
      </w:r>
    </w:p>
    <w:p w14:paraId="1C3A1460" w14:textId="77777777" w:rsidR="001D7BE8" w:rsidRPr="001D7BE8" w:rsidRDefault="00E657F5" w:rsidP="001D7BE8">
      <w:r w:rsidRPr="001D7BE8">
        <w:t>The surface course material shall be spread and compacted evenly to the required profile to a</w:t>
      </w:r>
      <w:r>
        <w:t xml:space="preserve"> </w:t>
      </w:r>
      <w:r w:rsidRPr="001D7BE8">
        <w:t>layer thickness of 20mm.</w:t>
      </w:r>
    </w:p>
    <w:p w14:paraId="7B2C5DCB" w14:textId="77777777" w:rsidR="001D7BE8" w:rsidRPr="001D7BE8" w:rsidRDefault="00E657F5" w:rsidP="001D7BE8">
      <w:r w:rsidRPr="001D7BE8">
        <w:t>The material shall be compacted by rolling with a 2.5 tonne roller or approved vibrating roller</w:t>
      </w:r>
      <w:r>
        <w:t xml:space="preserve"> </w:t>
      </w:r>
      <w:r w:rsidRPr="001D7BE8">
        <w:t>until all roller marks have been removed from the surface.</w:t>
      </w:r>
    </w:p>
    <w:p w14:paraId="70173A6A" w14:textId="77777777" w:rsidR="001D7BE8" w:rsidRPr="00F001B2" w:rsidRDefault="00E657F5" w:rsidP="001D7BE8">
      <w:r w:rsidRPr="001D7BE8">
        <w:t>The finished surface shall be within +0 or -6mm of true surface profile. The finished surface</w:t>
      </w:r>
      <w:r>
        <w:t xml:space="preserve"> </w:t>
      </w:r>
      <w:r w:rsidRPr="001D7BE8">
        <w:t xml:space="preserve">shall be 3 - 6mm above any kerb or channel block or gully </w:t>
      </w:r>
      <w:r w:rsidR="00A7493E" w:rsidRPr="001D7BE8">
        <w:t>frame or</w:t>
      </w:r>
      <w:r w:rsidRPr="001D7BE8">
        <w:t xml:space="preserve"> edging if the surface falls</w:t>
      </w:r>
      <w:r w:rsidR="009437C0">
        <w:t xml:space="preserve"> </w:t>
      </w:r>
      <w:r w:rsidRPr="001D7BE8">
        <w:t>towards the edging.</w:t>
      </w:r>
    </w:p>
    <w:p w14:paraId="4628F682" w14:textId="77777777" w:rsidR="00085081" w:rsidRDefault="00E657F5" w:rsidP="00085081">
      <w:r w:rsidRPr="00F001B2">
        <w:t>Any sections of surfacing to be designated for use as cycle routes shall incorporate hardstone crushed rock coarse aggregate with a minimum PSV of 55 in surface course(s).</w:t>
      </w:r>
    </w:p>
    <w:p w14:paraId="2C85B8C3" w14:textId="77777777" w:rsidR="00AA50C0" w:rsidRDefault="00E657F5" w:rsidP="00085081">
      <w:r w:rsidRPr="00F001B2">
        <w:t>Wherever practical the surface and binder course layers sh</w:t>
      </w:r>
      <w:r>
        <w:t>all</w:t>
      </w:r>
      <w:r w:rsidRPr="00F001B2">
        <w:t xml:space="preserve"> be machine laid to improve both durability</w:t>
      </w:r>
      <w:r>
        <w:t>,</w:t>
      </w:r>
      <w:r w:rsidRPr="00F001B2">
        <w:t xml:space="preserve"> long-term strength</w:t>
      </w:r>
      <w:r>
        <w:t>, profile and shedding of surface water</w:t>
      </w:r>
    </w:p>
    <w:p w14:paraId="210DDB05" w14:textId="77777777" w:rsidR="008D72E7" w:rsidRDefault="00E657F5" w:rsidP="00A200D5">
      <w:pPr>
        <w:pStyle w:val="Heading2"/>
      </w:pPr>
      <w:r w:rsidRPr="008D72E7">
        <w:t>Flags and Block</w:t>
      </w:r>
      <w:r>
        <w:t xml:space="preserve"> </w:t>
      </w:r>
      <w:r w:rsidRPr="008D72E7">
        <w:t>Paving</w:t>
      </w:r>
    </w:p>
    <w:p w14:paraId="2B9821EA" w14:textId="77777777" w:rsidR="009A40F1" w:rsidRPr="009A40F1" w:rsidRDefault="00E657F5" w:rsidP="009A40F1">
      <w:r w:rsidRPr="009A40F1">
        <w:t>Flags and block paving shall be used only where heavy pedestrian traffic is expected or when</w:t>
      </w:r>
      <w:r>
        <w:t xml:space="preserve"> </w:t>
      </w:r>
      <w:r w:rsidRPr="009A40F1">
        <w:t>justified in particular circumstances and their use shall be subject to the prior agreement of the</w:t>
      </w:r>
      <w:r>
        <w:t xml:space="preserve"> </w:t>
      </w:r>
      <w:r w:rsidRPr="009A40F1">
        <w:t xml:space="preserve">Engineer. No flagged areas will be permitted </w:t>
      </w:r>
      <w:r w:rsidR="00D534EE">
        <w:t xml:space="preserve">where </w:t>
      </w:r>
      <w:r w:rsidRPr="009A40F1">
        <w:t xml:space="preserve">vehicle </w:t>
      </w:r>
      <w:r w:rsidR="00774BD0">
        <w:t>overrun is anticipated</w:t>
      </w:r>
      <w:r w:rsidRPr="009A40F1">
        <w:t>.</w:t>
      </w:r>
    </w:p>
    <w:p w14:paraId="0659D259" w14:textId="77777777" w:rsidR="009A40F1" w:rsidRPr="009A40F1" w:rsidRDefault="00E657F5" w:rsidP="009A40F1">
      <w:r w:rsidRPr="009A40F1">
        <w:t xml:space="preserve">Where </w:t>
      </w:r>
      <w:r w:rsidR="00A03200">
        <w:t xml:space="preserve">flags and/or block paving </w:t>
      </w:r>
      <w:r w:rsidRPr="009A40F1">
        <w:t xml:space="preserve">permitted, the materials shall </w:t>
      </w:r>
      <w:r>
        <w:t xml:space="preserve">conform to the requirements of the approved </w:t>
      </w:r>
      <w:hyperlink r:id="rId21" w:history="1">
        <w:r w:rsidRPr="00B31C6B">
          <w:rPr>
            <w:rStyle w:val="Hyperlink"/>
            <w:rFonts w:cs="Helvetica-Light"/>
          </w:rPr>
          <w:t>LCC Palette of Materials</w:t>
        </w:r>
        <w:r w:rsidR="00A7493E" w:rsidRPr="00B31C6B">
          <w:rPr>
            <w:rStyle w:val="Hyperlink"/>
            <w:rFonts w:cs="Helvetica-Light"/>
          </w:rPr>
          <w:t xml:space="preserve"> Code of Practice (CoP)</w:t>
        </w:r>
        <w:r w:rsidR="005423C5" w:rsidRPr="00B31C6B">
          <w:rPr>
            <w:rStyle w:val="Hyperlink"/>
            <w:rFonts w:cs="Helvetica-Light"/>
          </w:rPr>
          <w:t>.</w:t>
        </w:r>
      </w:hyperlink>
      <w:r w:rsidR="005423C5">
        <w:t xml:space="preserve"> Where an enhanced material is specified and agreed the developer shall be liable for a commuted sum for the increased maintenance burden over the lifecycle of the asset, as calculated in accordance with methodology contained within the LCC Palette of Materials</w:t>
      </w:r>
      <w:r w:rsidR="00A7493E">
        <w:t xml:space="preserve"> CoP</w:t>
      </w:r>
      <w:r w:rsidR="00E25C82">
        <w:t>.</w:t>
      </w:r>
      <w:r w:rsidR="005423C5">
        <w:t xml:space="preserve"> </w:t>
      </w:r>
    </w:p>
    <w:p w14:paraId="3EE7469F" w14:textId="77777777" w:rsidR="008D72E7" w:rsidRDefault="00E657F5" w:rsidP="00A200D5">
      <w:pPr>
        <w:pStyle w:val="Heading2"/>
      </w:pPr>
      <w:r w:rsidRPr="00A200D5">
        <w:t xml:space="preserve">Laying of </w:t>
      </w:r>
      <w:r w:rsidR="00D534EE">
        <w:t>Flags and Block Paving</w:t>
      </w:r>
    </w:p>
    <w:p w14:paraId="498D14A2" w14:textId="77777777" w:rsidR="00047D8B" w:rsidRPr="00047D8B" w:rsidRDefault="00E657F5" w:rsidP="00047D8B">
      <w:r w:rsidRPr="00047D8B">
        <w:t>Flags shall be laid to the required crossfalls and to 150mm or 300mm bond with the longer</w:t>
      </w:r>
      <w:r>
        <w:t xml:space="preserve"> </w:t>
      </w:r>
      <w:r w:rsidRPr="00047D8B">
        <w:t>sides of the flags at right angles to the kerb unless otherwise specified. On circular work where</w:t>
      </w:r>
      <w:r>
        <w:t xml:space="preserve"> </w:t>
      </w:r>
      <w:r w:rsidRPr="00047D8B">
        <w:t>the radius is 12m or less all flags shall be radially cut on both edges to the required line.</w:t>
      </w:r>
    </w:p>
    <w:p w14:paraId="445D60A5" w14:textId="77777777" w:rsidR="00047D8B" w:rsidRPr="00047D8B" w:rsidRDefault="00E657F5" w:rsidP="00047D8B">
      <w:r w:rsidRPr="00047D8B">
        <w:t>Flags shall be laid in accordance with BS</w:t>
      </w:r>
      <w:r w:rsidR="006D4EEC">
        <w:t xml:space="preserve"> </w:t>
      </w:r>
      <w:r w:rsidRPr="00047D8B">
        <w:t>7533: Part 4.</w:t>
      </w:r>
    </w:p>
    <w:p w14:paraId="4D5172F5" w14:textId="77777777" w:rsidR="00047D8B" w:rsidRPr="00047D8B" w:rsidRDefault="00E657F5" w:rsidP="00047D8B">
      <w:pPr>
        <w:rPr>
          <w:lang w:eastAsia="en-GB"/>
        </w:rPr>
      </w:pPr>
      <w:r w:rsidRPr="00047D8B">
        <w:t>Block paving shall be laid in accordance with BS</w:t>
      </w:r>
      <w:r w:rsidR="006D4EEC">
        <w:t xml:space="preserve"> </w:t>
      </w:r>
      <w:r w:rsidRPr="00047D8B">
        <w:t>7533: Part 3.</w:t>
      </w:r>
    </w:p>
    <w:p w14:paraId="48B3F2C0" w14:textId="77777777" w:rsidR="00A200D5" w:rsidRDefault="00E657F5" w:rsidP="00A200D5">
      <w:pPr>
        <w:pStyle w:val="Heading2"/>
      </w:pPr>
      <w:r w:rsidRPr="00A200D5">
        <w:t>Laying Course</w:t>
      </w:r>
    </w:p>
    <w:p w14:paraId="3A74901C" w14:textId="77777777" w:rsidR="008E05EA" w:rsidRPr="008E05EA" w:rsidRDefault="00E657F5" w:rsidP="008E05EA">
      <w:r w:rsidRPr="00462D00">
        <w:t>Precast concrete flags larger than 450mm x 450mm shall be bedded on a laying course of 3:1</w:t>
      </w:r>
      <w:r w:rsidRPr="008E05EA">
        <w:t>sand cement mortar 25mm thick.</w:t>
      </w:r>
    </w:p>
    <w:p w14:paraId="24C94C47" w14:textId="77777777" w:rsidR="008E05EA" w:rsidRPr="008E05EA" w:rsidRDefault="00E657F5" w:rsidP="008E05EA">
      <w:r w:rsidRPr="008E05EA">
        <w:t>Small element concrete paving flags 450mm x 450mm or smaller shall be bedded on a laying</w:t>
      </w:r>
      <w:r w:rsidR="00462D00">
        <w:t xml:space="preserve"> </w:t>
      </w:r>
      <w:r w:rsidRPr="008E05EA">
        <w:t>course of sand 30mm thick to BS</w:t>
      </w:r>
      <w:r w:rsidR="006D4EEC">
        <w:t xml:space="preserve"> </w:t>
      </w:r>
      <w:r w:rsidRPr="008E05EA">
        <w:t>7533: Part 4.</w:t>
      </w:r>
    </w:p>
    <w:p w14:paraId="59800BEB" w14:textId="77777777" w:rsidR="00462D00" w:rsidRDefault="00E657F5" w:rsidP="008E05EA">
      <w:r w:rsidRPr="008E05EA">
        <w:t>Block paving shall be bedded on a laying course of Category III bedding sand</w:t>
      </w:r>
      <w:r>
        <w:t xml:space="preserve"> </w:t>
      </w:r>
      <w:r w:rsidRPr="008E05EA">
        <w:t>50mm thick to</w:t>
      </w:r>
      <w:r>
        <w:t xml:space="preserve"> </w:t>
      </w:r>
      <w:r w:rsidRPr="008E05EA">
        <w:t>BS</w:t>
      </w:r>
      <w:r w:rsidR="006D4EEC">
        <w:t xml:space="preserve"> </w:t>
      </w:r>
      <w:r w:rsidRPr="008E05EA">
        <w:t>7533: Part 3.</w:t>
      </w:r>
    </w:p>
    <w:p w14:paraId="20562531" w14:textId="77777777" w:rsidR="00462D00" w:rsidRDefault="00E657F5" w:rsidP="003F1CF5">
      <w:pPr>
        <w:pStyle w:val="Heading1"/>
      </w:pPr>
      <w:bookmarkStart w:id="75" w:name="_Toc123738096"/>
      <w:r>
        <w:t>Kerbs, Channels &amp; Edge Restraints</w:t>
      </w:r>
      <w:bookmarkEnd w:id="75"/>
    </w:p>
    <w:p w14:paraId="23DD9514" w14:textId="77777777" w:rsidR="00462D00" w:rsidRPr="00EC134A" w:rsidRDefault="00E657F5" w:rsidP="00462D00">
      <w:pPr>
        <w:pStyle w:val="Heading2"/>
      </w:pPr>
      <w:r>
        <w:t>Precast Concret</w:t>
      </w:r>
      <w:r w:rsidR="009F5B7F">
        <w:t>e</w:t>
      </w:r>
      <w:r>
        <w:t xml:space="preserve"> Kerbs, Channels and Edging</w:t>
      </w:r>
      <w:r w:rsidR="00E473C9">
        <w:t>s</w:t>
      </w:r>
    </w:p>
    <w:p w14:paraId="06ACF6A9" w14:textId="77777777" w:rsidR="00F64B5D" w:rsidRPr="00F64B5D" w:rsidRDefault="00E657F5" w:rsidP="00F64B5D">
      <w:r w:rsidRPr="00F64B5D">
        <w:t>Precast concrete kerbs channels and edgings shall be to BS</w:t>
      </w:r>
      <w:r w:rsidR="00E473C9">
        <w:t xml:space="preserve"> </w:t>
      </w:r>
      <w:r w:rsidRPr="00F64B5D">
        <w:t>EN 1339 in pressed concrete with</w:t>
      </w:r>
      <w:r>
        <w:t xml:space="preserve"> </w:t>
      </w:r>
      <w:r w:rsidRPr="00F64B5D">
        <w:t>the coarse aggregate having a 10% fines value not less than 120kN.</w:t>
      </w:r>
    </w:p>
    <w:p w14:paraId="347F756E" w14:textId="77777777" w:rsidR="00F64B5D" w:rsidRPr="00F64B5D" w:rsidRDefault="00E657F5" w:rsidP="00F64B5D">
      <w:r w:rsidRPr="00F64B5D">
        <w:t>Kerbs shall be 125mm x 255mm half battered (12½</w:t>
      </w:r>
      <w:r w:rsidR="00D32BDD">
        <w:rPr>
          <w:rFonts w:cs="Arial"/>
        </w:rPr>
        <w:t>°</w:t>
      </w:r>
      <w:r w:rsidRPr="00F64B5D">
        <w:t>). Where a grass verge lies directly behind</w:t>
      </w:r>
      <w:r>
        <w:t xml:space="preserve"> </w:t>
      </w:r>
      <w:r w:rsidRPr="00F64B5D">
        <w:t>the kerb line, the Engineer may require 125mm x 255 mm 45</w:t>
      </w:r>
      <w:r w:rsidR="00D32BDD">
        <w:rPr>
          <w:rFonts w:cs="Arial"/>
        </w:rPr>
        <w:t>°</w:t>
      </w:r>
      <w:r w:rsidRPr="00F64B5D">
        <w:t xml:space="preserve"> splayed kerbs.</w:t>
      </w:r>
    </w:p>
    <w:p w14:paraId="18C8D41B" w14:textId="77777777" w:rsidR="00F64B5D" w:rsidRPr="00F64B5D" w:rsidRDefault="00E657F5" w:rsidP="00F64B5D">
      <w:r w:rsidRPr="00F64B5D">
        <w:t>Bullnose kerbs at domestic vehicle crossings and pedestrian crossings shall be 125mm x</w:t>
      </w:r>
      <w:r>
        <w:t xml:space="preserve"> </w:t>
      </w:r>
      <w:r w:rsidRPr="00F64B5D">
        <w:t>150mm.</w:t>
      </w:r>
    </w:p>
    <w:p w14:paraId="6B7DCCCC" w14:textId="77777777" w:rsidR="00F64B5D" w:rsidRPr="00F64B5D" w:rsidRDefault="00E657F5" w:rsidP="00F64B5D">
      <w:r w:rsidRPr="00F64B5D">
        <w:t>Special dropper (taper) kerbs shall be used to reduce the kerb face for crossings on straight</w:t>
      </w:r>
      <w:r>
        <w:t xml:space="preserve"> </w:t>
      </w:r>
      <w:r w:rsidRPr="00F64B5D">
        <w:t>runs.</w:t>
      </w:r>
    </w:p>
    <w:p w14:paraId="5426A8C4" w14:textId="77777777" w:rsidR="00F64B5D" w:rsidRPr="00F64B5D" w:rsidRDefault="00E657F5" w:rsidP="00F64B5D">
      <w:r w:rsidRPr="00F64B5D">
        <w:t>The correct radius kerb shall be used for all radii of 12m or less.</w:t>
      </w:r>
    </w:p>
    <w:p w14:paraId="6A254E61" w14:textId="77777777" w:rsidR="00F64B5D" w:rsidRDefault="00E657F5" w:rsidP="00F64B5D">
      <w:r w:rsidRPr="00F64B5D">
        <w:t>Precast concrete</w:t>
      </w:r>
      <w:r w:rsidR="00E25F4E">
        <w:t xml:space="preserve"> </w:t>
      </w:r>
      <w:r w:rsidRPr="00F64B5D">
        <w:t>channels 230mm x 75mm shall be used in conjunction with kerbs on lengths</w:t>
      </w:r>
      <w:r>
        <w:t xml:space="preserve"> </w:t>
      </w:r>
      <w:r w:rsidRPr="00F64B5D">
        <w:t>where in the opinion of the Engineer longitudinal falls are inadequate for satisfactory natural</w:t>
      </w:r>
      <w:r>
        <w:t xml:space="preserve"> </w:t>
      </w:r>
      <w:r w:rsidRPr="00F64B5D">
        <w:t>drainage. The channels to be bedded on mix ST1 concrete 225mm thick. False falls shall be</w:t>
      </w:r>
      <w:r>
        <w:t xml:space="preserve"> </w:t>
      </w:r>
      <w:r w:rsidRPr="00F64B5D">
        <w:t>created along the channel by reducing the kerb height to 75mm at summits and increasing the</w:t>
      </w:r>
      <w:r>
        <w:t xml:space="preserve"> </w:t>
      </w:r>
      <w:r w:rsidRPr="00F64B5D">
        <w:t>height to 125mm at valleys.</w:t>
      </w:r>
    </w:p>
    <w:p w14:paraId="343CBDA6" w14:textId="77777777" w:rsidR="00F64B5D" w:rsidRPr="00F64B5D" w:rsidRDefault="00E657F5" w:rsidP="00F64B5D">
      <w:pPr>
        <w:pStyle w:val="BodyText"/>
      </w:pPr>
      <w:r>
        <w:t xml:space="preserve">Channels formed in asphalt </w:t>
      </w:r>
      <w:r w:rsidR="006D4EEC">
        <w:t>will not be</w:t>
      </w:r>
      <w:r>
        <w:t xml:space="preserve"> accept</w:t>
      </w:r>
      <w:r w:rsidR="006D4EEC">
        <w:t>ed</w:t>
      </w:r>
      <w:r>
        <w:t>.</w:t>
      </w:r>
    </w:p>
    <w:p w14:paraId="19445E0D" w14:textId="77777777" w:rsidR="009F5B7F" w:rsidRDefault="00E657F5" w:rsidP="00F64B5D">
      <w:r w:rsidRPr="00F64B5D">
        <w:t xml:space="preserve">Edgings shall be 50mm x 200mm pressed concrete </w:t>
      </w:r>
      <w:r w:rsidR="006818E9" w:rsidRPr="00F64B5D">
        <w:t>flat-topped</w:t>
      </w:r>
      <w:r w:rsidRPr="00F64B5D">
        <w:t xml:space="preserve"> square section.</w:t>
      </w:r>
    </w:p>
    <w:p w14:paraId="6ED8DCE8" w14:textId="77777777" w:rsidR="006818E9" w:rsidRDefault="00E657F5" w:rsidP="006818E9">
      <w:pPr>
        <w:pStyle w:val="Heading2"/>
      </w:pPr>
      <w:r>
        <w:t>Kerb Foundations</w:t>
      </w:r>
    </w:p>
    <w:p w14:paraId="109F955D" w14:textId="77777777" w:rsidR="00820FAB" w:rsidRPr="00820FAB" w:rsidRDefault="00E657F5" w:rsidP="00820FAB">
      <w:r w:rsidRPr="00820FAB">
        <w:t>All kerbs shall be set on a bed 275mm wide x 150mm deep of cast in</w:t>
      </w:r>
      <w:r>
        <w:t>-</w:t>
      </w:r>
      <w:r w:rsidRPr="00820FAB">
        <w:t>situ mix ST1 concrete.</w:t>
      </w:r>
    </w:p>
    <w:p w14:paraId="5531C59C" w14:textId="77777777" w:rsidR="00820FAB" w:rsidRPr="00820FAB" w:rsidRDefault="00E657F5" w:rsidP="00820FAB">
      <w:r w:rsidRPr="00820FAB">
        <w:t>Immediately after laying, kerbs shall be backed and/or haunched with mix ST1 concrete</w:t>
      </w:r>
      <w:r>
        <w:t>.</w:t>
      </w:r>
    </w:p>
    <w:p w14:paraId="7176CDAE" w14:textId="77777777" w:rsidR="0006551C" w:rsidRPr="006818E9" w:rsidRDefault="00E657F5" w:rsidP="00820FAB">
      <w:r w:rsidRPr="00820FAB">
        <w:t>Kerb bed and haunching concrete shall be adequately compacted.</w:t>
      </w:r>
    </w:p>
    <w:p w14:paraId="75BD8E82" w14:textId="77777777" w:rsidR="00820FAB" w:rsidRDefault="00E657F5" w:rsidP="00820FAB">
      <w:pPr>
        <w:pStyle w:val="Heading2"/>
      </w:pPr>
      <w:r>
        <w:t>Laying Edgings</w:t>
      </w:r>
    </w:p>
    <w:p w14:paraId="04110CA3" w14:textId="77777777" w:rsidR="0006551C" w:rsidRDefault="00E657F5" w:rsidP="006F5D82">
      <w:r w:rsidRPr="006F5D82">
        <w:t>The 50mm x 200mm precast concrete footway edgings to Clause 7.1. shall be laid on edge</w:t>
      </w:r>
      <w:r>
        <w:t xml:space="preserve"> </w:t>
      </w:r>
      <w:r w:rsidRPr="006F5D82">
        <w:t>on a bed of mix ST1 concrete 75mm thick, true to the line and levels of the footway and shall</w:t>
      </w:r>
      <w:r>
        <w:t xml:space="preserve"> </w:t>
      </w:r>
      <w:r w:rsidRPr="006F5D82">
        <w:t>be haunched at the back with 100mm concrete within 50mm of the top and at the front with</w:t>
      </w:r>
      <w:r>
        <w:t xml:space="preserve"> </w:t>
      </w:r>
      <w:r w:rsidRPr="006F5D82">
        <w:t>50mm concrete to within 75mm of the top</w:t>
      </w:r>
      <w:r w:rsidR="00DE1AA2">
        <w:t>.</w:t>
      </w:r>
    </w:p>
    <w:p w14:paraId="1D1E82FD" w14:textId="77777777" w:rsidR="0006551C" w:rsidRDefault="00E657F5" w:rsidP="006F5D82">
      <w:r w:rsidRPr="0006551C">
        <w:t>In areas where the sub-grade is prone to expansion and contraction resulting from climatic changes, such as clay, the concrete bed must be laid a top of a minimum of 100mm of type 1 sub-base, continued from the path construction. Alternatively, and where appropriate the edging can be omitted, in such scenarios each construction layer must be stepped out 150mm from the layer above</w:t>
      </w:r>
      <w:r>
        <w:t xml:space="preserve"> and bound layers must be machine laid to ensure adequate level control and surface regularity. </w:t>
      </w:r>
    </w:p>
    <w:p w14:paraId="3693D91C" w14:textId="77777777" w:rsidR="006F5D82" w:rsidRDefault="00E657F5" w:rsidP="006F5D82">
      <w:pPr>
        <w:pStyle w:val="Heading2"/>
      </w:pPr>
      <w:r>
        <w:t>Kerb and Edging Lines</w:t>
      </w:r>
    </w:p>
    <w:p w14:paraId="60FCDFA9" w14:textId="77777777" w:rsidR="002C6D74" w:rsidRPr="002C6D74" w:rsidRDefault="00E657F5" w:rsidP="002C6D74">
      <w:r w:rsidRPr="002C6D74">
        <w:t>Kerb and edging lines shall be properly set out with road pins and string lines to the lines and</w:t>
      </w:r>
      <w:r>
        <w:t xml:space="preserve"> </w:t>
      </w:r>
      <w:r w:rsidRPr="002C6D74">
        <w:t>levels given on the approved drawings.</w:t>
      </w:r>
    </w:p>
    <w:p w14:paraId="601D4417" w14:textId="77777777" w:rsidR="002C6D74" w:rsidRPr="002C6D74" w:rsidRDefault="00E657F5" w:rsidP="002C6D74">
      <w:r w:rsidRPr="002C6D74">
        <w:t>The kerbs and edgings shall be laid accurately to these lines and fine adjustments made so</w:t>
      </w:r>
      <w:r>
        <w:t xml:space="preserve"> </w:t>
      </w:r>
      <w:r w:rsidRPr="002C6D74">
        <w:t>that a smooth flowing alignment is achieved free from sudden deviations or imperfections</w:t>
      </w:r>
      <w:r>
        <w:t xml:space="preserve"> </w:t>
      </w:r>
      <w:r w:rsidRPr="002C6D74">
        <w:t>within a tolerance of +13mm to the satisfaction of the Engineer.</w:t>
      </w:r>
    </w:p>
    <w:p w14:paraId="5DC9FD32" w14:textId="77777777" w:rsidR="002C6D74" w:rsidRPr="002C6D74" w:rsidRDefault="00E657F5" w:rsidP="002C6D74">
      <w:r w:rsidRPr="002C6D74">
        <w:t>Kerb upstand shall be between 100mm and 125mm on completion as required by the</w:t>
      </w:r>
      <w:r>
        <w:t xml:space="preserve"> </w:t>
      </w:r>
      <w:r w:rsidRPr="002C6D74">
        <w:t>Engineer.</w:t>
      </w:r>
    </w:p>
    <w:p w14:paraId="29035503" w14:textId="77777777" w:rsidR="006F5D82" w:rsidRPr="006F5D82" w:rsidRDefault="00E657F5" w:rsidP="002C6D74">
      <w:r w:rsidRPr="002C6D74">
        <w:t>The surface level of kerbs and edgings shall not deviate from the design level by more than</w:t>
      </w:r>
      <w:r>
        <w:t xml:space="preserve"> </w:t>
      </w:r>
      <w:r w:rsidRPr="002C6D74">
        <w:t>+6mm, nor shall the longitudinal surface regularity deviate by more than 3mm in 3m when</w:t>
      </w:r>
      <w:r>
        <w:t xml:space="preserve"> </w:t>
      </w:r>
      <w:r w:rsidRPr="002C6D74">
        <w:t>checked with a 3mm straight edge.</w:t>
      </w:r>
    </w:p>
    <w:p w14:paraId="7FE11280" w14:textId="77777777" w:rsidR="002C6D74" w:rsidRDefault="00E657F5" w:rsidP="002C6D74">
      <w:pPr>
        <w:pStyle w:val="Heading2"/>
      </w:pPr>
      <w:r>
        <w:t>Dropped Kerbs</w:t>
      </w:r>
    </w:p>
    <w:p w14:paraId="788FC477" w14:textId="77777777" w:rsidR="00451699" w:rsidRPr="00E43209" w:rsidRDefault="00E657F5" w:rsidP="00E43209">
      <w:r w:rsidRPr="00E43209">
        <w:t>Dropped kerbs shall be provided at vehicular crossings and pedestrian crossing places</w:t>
      </w:r>
      <w:r>
        <w:t xml:space="preserve"> </w:t>
      </w:r>
      <w:r w:rsidRPr="00E43209">
        <w:t xml:space="preserve">including </w:t>
      </w:r>
      <w:r w:rsidR="00D51F9E" w:rsidRPr="00E43209">
        <w:t>junctions.</w:t>
      </w:r>
    </w:p>
    <w:p w14:paraId="3E70EEC2" w14:textId="77777777" w:rsidR="00E43209" w:rsidRPr="00E43209" w:rsidRDefault="00E657F5" w:rsidP="00E43209">
      <w:r w:rsidRPr="00E43209">
        <w:t>A domestic vehicular crossing on the straight or radius over 12m shall consist of:</w:t>
      </w:r>
    </w:p>
    <w:p w14:paraId="0D84671D" w14:textId="77777777" w:rsidR="00E43209" w:rsidRPr="00E43209" w:rsidRDefault="00E657F5" w:rsidP="00876477">
      <w:pPr>
        <w:pStyle w:val="ListParagraph"/>
        <w:numPr>
          <w:ilvl w:val="0"/>
          <w:numId w:val="11"/>
        </w:numPr>
      </w:pPr>
      <w:r w:rsidRPr="00E43209">
        <w:t>A taper/dropped kerb for 125mm x 255mm half (or full) battered kerbs</w:t>
      </w:r>
      <w:r w:rsidR="0005415F">
        <w:t>,</w:t>
      </w:r>
    </w:p>
    <w:p w14:paraId="2B7486D3" w14:textId="77777777" w:rsidR="00E43209" w:rsidRPr="00E43209" w:rsidRDefault="00E657F5" w:rsidP="00876477">
      <w:pPr>
        <w:pStyle w:val="ListParagraph"/>
        <w:numPr>
          <w:ilvl w:val="0"/>
          <w:numId w:val="11"/>
        </w:numPr>
      </w:pPr>
      <w:r w:rsidRPr="00E43209">
        <w:t>A minimum of four 125mm x 150mm bullnose kerbs laid to give a 25mm face</w:t>
      </w:r>
      <w:r w:rsidR="0005415F">
        <w:t>,</w:t>
      </w:r>
    </w:p>
    <w:p w14:paraId="3065047A" w14:textId="77777777" w:rsidR="00997265" w:rsidRDefault="00E657F5" w:rsidP="00876477">
      <w:pPr>
        <w:pStyle w:val="ListParagraph"/>
        <w:numPr>
          <w:ilvl w:val="0"/>
          <w:numId w:val="11"/>
        </w:numPr>
      </w:pPr>
      <w:r w:rsidRPr="00E43209">
        <w:t>A taper/dropped kerb</w:t>
      </w:r>
      <w:r>
        <w:t>.</w:t>
      </w:r>
    </w:p>
    <w:p w14:paraId="2E697C29" w14:textId="77777777" w:rsidR="006F5D82" w:rsidRPr="00820FAB" w:rsidRDefault="00E657F5" w:rsidP="00E43209">
      <w:r>
        <w:t>All pedestrian crossing points shall have kerbs laid flush-6mm</w:t>
      </w:r>
      <w:r w:rsidR="009900FA">
        <w:t xml:space="preserve"> and</w:t>
      </w:r>
      <w:r>
        <w:t xml:space="preserve"> inverted bull nose kerbs shall be used as this ensure</w:t>
      </w:r>
      <w:r w:rsidR="009900FA">
        <w:t>s</w:t>
      </w:r>
      <w:r>
        <w:t xml:space="preserve"> that there is no radius and a clean</w:t>
      </w:r>
      <w:r w:rsidR="009900FA">
        <w:t>, straight</w:t>
      </w:r>
      <w:r w:rsidR="000A366F">
        <w:t xml:space="preserve">, hazard free </w:t>
      </w:r>
      <w:r>
        <w:t xml:space="preserve">edge for asphalt to be laid up to can be provided. </w:t>
      </w:r>
      <w:r w:rsidR="001C36DA">
        <w:t xml:space="preserve">At all uncontrolled crossing points </w:t>
      </w:r>
      <w:r w:rsidR="0066060A">
        <w:t>b</w:t>
      </w:r>
      <w:r>
        <w:t xml:space="preserve">uff </w:t>
      </w:r>
      <w:r w:rsidR="0066060A">
        <w:t xml:space="preserve">coloured </w:t>
      </w:r>
      <w:r>
        <w:t>tactile paving must also be provided</w:t>
      </w:r>
      <w:r w:rsidR="00FF32B0" w:rsidRPr="00086D04">
        <w:t xml:space="preserve"> </w:t>
      </w:r>
      <w:r w:rsidR="00224897" w:rsidRPr="00086D04">
        <w:t xml:space="preserve">in accordance with </w:t>
      </w:r>
      <w:r w:rsidR="00224897" w:rsidRPr="009900FA">
        <w:t>DfT guidance found within "Inclusive Mobility"</w:t>
      </w:r>
      <w:r w:rsidR="00D51F9E">
        <w:t>.</w:t>
      </w:r>
    </w:p>
    <w:p w14:paraId="1FCD0172" w14:textId="77777777" w:rsidR="009F5B7F" w:rsidRDefault="009F5B7F" w:rsidP="009F5B7F"/>
    <w:p w14:paraId="16BD3002" w14:textId="77777777" w:rsidR="00462D00" w:rsidRDefault="00462D00" w:rsidP="00462D00"/>
    <w:p w14:paraId="72E77C0A" w14:textId="77777777" w:rsidR="00462D00" w:rsidRDefault="00462D00" w:rsidP="00462D00"/>
    <w:p w14:paraId="358E7821" w14:textId="77777777" w:rsidR="008E05EA" w:rsidRPr="008E05EA" w:rsidRDefault="008E05EA" w:rsidP="008E05EA"/>
    <w:p w14:paraId="35A3646D" w14:textId="77777777" w:rsidR="00AC4F3F" w:rsidRDefault="00E657F5" w:rsidP="00AC4F3F">
      <w:pPr>
        <w:pStyle w:val="Heading1"/>
      </w:pPr>
      <w:bookmarkStart w:id="76" w:name="_Toc123738097"/>
      <w:r>
        <w:t>Road Restraint Systems</w:t>
      </w:r>
      <w:bookmarkEnd w:id="76"/>
    </w:p>
    <w:p w14:paraId="58508CA7" w14:textId="77777777" w:rsidR="00AC4F3F" w:rsidRPr="00AC4F3F" w:rsidRDefault="00E657F5" w:rsidP="00AC4F3F">
      <w:r w:rsidRPr="00AC4F3F">
        <w:t xml:space="preserve">It is expected that all practical attempts should be made to prevent new hazards being created or to design them out, thus avoiding the need to consider vehicle restraint system provision. Where this is not possible reference should be made to </w:t>
      </w:r>
      <w:hyperlink r:id="rId22" w:history="1">
        <w:r w:rsidRPr="00AC4F3F">
          <w:rPr>
            <w:rStyle w:val="Hyperlink"/>
            <w:rFonts w:cs="Helvetica-Light"/>
          </w:rPr>
          <w:t>Lancashire County Council Vehicle Restraint Systems Code of Practice</w:t>
        </w:r>
      </w:hyperlink>
      <w:r w:rsidRPr="00AC4F3F">
        <w:t xml:space="preserve">. </w:t>
      </w:r>
    </w:p>
    <w:p w14:paraId="2530C174" w14:textId="77777777" w:rsidR="00AC4F3F" w:rsidRPr="00AC4F3F" w:rsidRDefault="00E657F5" w:rsidP="00AC4F3F">
      <w:r w:rsidRPr="00AC4F3F">
        <w:t>Any proposals for new road restraint systems must be submitted for approval.</w:t>
      </w:r>
    </w:p>
    <w:p w14:paraId="5A7A505D" w14:textId="77777777" w:rsidR="00AC4F3F" w:rsidRPr="00AC4F3F" w:rsidRDefault="00E657F5" w:rsidP="00AC4F3F">
      <w:r w:rsidRPr="00AC4F3F">
        <w:t>Notwithstanding the requirements conta</w:t>
      </w:r>
      <w:r w:rsidRPr="00AC4F3F">
        <w:rPr>
          <w:color w:val="auto"/>
        </w:rPr>
        <w:t>ined within the L</w:t>
      </w:r>
      <w:r w:rsidR="00CA71F8">
        <w:rPr>
          <w:color w:val="auto"/>
        </w:rPr>
        <w:t>CC</w:t>
      </w:r>
      <w:r w:rsidR="00F20A21">
        <w:rPr>
          <w:color w:val="auto"/>
        </w:rPr>
        <w:t xml:space="preserve"> </w:t>
      </w:r>
      <w:r w:rsidRPr="00AC4F3F">
        <w:rPr>
          <w:color w:val="auto"/>
        </w:rPr>
        <w:t>Vehicle Restraint Systems Code of Practice</w:t>
      </w:r>
      <w:r w:rsidRPr="00AC4F3F">
        <w:t xml:space="preserve"> any new road restraint system shall be an un-tensioned system. </w:t>
      </w:r>
    </w:p>
    <w:p w14:paraId="2169D5BB" w14:textId="77777777" w:rsidR="00AC4F3F" w:rsidRPr="00AC4F3F" w:rsidRDefault="00E657F5" w:rsidP="00AC4F3F">
      <w:r w:rsidRPr="00AC4F3F">
        <w:t>Plans to construct anything within 3.5m of an existing road restraint system shall require approval.</w:t>
      </w:r>
    </w:p>
    <w:p w14:paraId="74392785" w14:textId="77777777" w:rsidR="00AC4F3F" w:rsidRPr="00AC4F3F" w:rsidRDefault="00AC4F3F" w:rsidP="00AC4F3F">
      <w:pPr>
        <w:pStyle w:val="BodyText"/>
        <w:rPr>
          <w:lang w:eastAsia="en-GB"/>
        </w:rPr>
      </w:pPr>
    </w:p>
    <w:p w14:paraId="4FAE092F" w14:textId="77777777" w:rsidR="005C3761" w:rsidRPr="00910EE2" w:rsidRDefault="005C3761" w:rsidP="005C3761">
      <w:pPr>
        <w:pStyle w:val="Tableheading"/>
      </w:pPr>
    </w:p>
    <w:p w14:paraId="62A33141" w14:textId="77777777" w:rsidR="00462FE9" w:rsidRDefault="00E657F5" w:rsidP="00462FE9">
      <w:pPr>
        <w:pStyle w:val="Heading1"/>
      </w:pPr>
      <w:bookmarkStart w:id="77" w:name="_Toc123738098"/>
      <w:r>
        <w:t>Street Lighting</w:t>
      </w:r>
      <w:bookmarkEnd w:id="77"/>
    </w:p>
    <w:p w14:paraId="29A57B02" w14:textId="77777777" w:rsidR="006A138A" w:rsidRPr="006A138A" w:rsidRDefault="00E657F5" w:rsidP="006A138A">
      <w:pPr>
        <w:pStyle w:val="Heading2"/>
      </w:pPr>
      <w:r>
        <w:t>Nature and extent of work</w:t>
      </w:r>
    </w:p>
    <w:p w14:paraId="4C6CC0E3" w14:textId="77777777" w:rsidR="00F85022" w:rsidRPr="00F079C4" w:rsidRDefault="00E657F5" w:rsidP="00F079C4">
      <w:r w:rsidRPr="00F079C4">
        <w:t>The Developer shall include for the supply and delivery to site of all equipment detailed</w:t>
      </w:r>
      <w:r w:rsidR="00C66C69">
        <w:t xml:space="preserve"> </w:t>
      </w:r>
      <w:r w:rsidRPr="00F079C4">
        <w:t xml:space="preserve">hereafter, the erection, wiring, </w:t>
      </w:r>
      <w:r w:rsidR="00AA50C0" w:rsidRPr="00F079C4">
        <w:t>testing,</w:t>
      </w:r>
      <w:r w:rsidRPr="00F079C4">
        <w:t xml:space="preserve"> and commissioning of the installation and leaving it in</w:t>
      </w:r>
      <w:r w:rsidR="00C66C69">
        <w:t xml:space="preserve"> </w:t>
      </w:r>
      <w:r w:rsidRPr="00F079C4">
        <w:t>working order to the satisfaction of the Engineer.</w:t>
      </w:r>
    </w:p>
    <w:p w14:paraId="0330910C" w14:textId="77777777" w:rsidR="00F85022" w:rsidRPr="00F079C4" w:rsidRDefault="00E657F5" w:rsidP="00F079C4">
      <w:r w:rsidRPr="00F079C4">
        <w:t>The Developer shall include for the cost of, and arrange for the provision of, underground</w:t>
      </w:r>
      <w:r w:rsidR="00F079C4">
        <w:t xml:space="preserve"> </w:t>
      </w:r>
      <w:r w:rsidRPr="00F079C4">
        <w:t xml:space="preserve">electricity service connections. </w:t>
      </w:r>
      <w:r w:rsidR="002578B6">
        <w:t>The Developer</w:t>
      </w:r>
      <w:r w:rsidR="002578B6" w:rsidRPr="00F079C4">
        <w:t xml:space="preserve"> </w:t>
      </w:r>
      <w:r w:rsidRPr="00F079C4">
        <w:t>shall provide all necessary ducts, etc and such facilities as</w:t>
      </w:r>
      <w:r w:rsidR="00F079C4">
        <w:t xml:space="preserve"> </w:t>
      </w:r>
      <w:r w:rsidRPr="00F079C4">
        <w:t>may be required by the Distribution Network Operator (DNO) to carry out their inspections and</w:t>
      </w:r>
      <w:r w:rsidR="00F079C4">
        <w:t xml:space="preserve"> </w:t>
      </w:r>
      <w:r w:rsidRPr="00F079C4">
        <w:t>tests.</w:t>
      </w:r>
    </w:p>
    <w:p w14:paraId="79391EE5" w14:textId="77777777" w:rsidR="00462FE9" w:rsidRPr="00462FE9" w:rsidRDefault="00E657F5" w:rsidP="00F079C4">
      <w:r w:rsidRPr="00F079C4">
        <w:t>The Developer shall complete the Energy Liability Acceptance Form (ELA) required</w:t>
      </w:r>
      <w:r w:rsidR="00F079C4">
        <w:t xml:space="preserve"> </w:t>
      </w:r>
      <w:r w:rsidRPr="00F079C4">
        <w:t>by the</w:t>
      </w:r>
      <w:r w:rsidR="00F079C4">
        <w:t xml:space="preserve"> </w:t>
      </w:r>
      <w:r w:rsidRPr="00F079C4">
        <w:t>DNO. In so doing the Developer accepts responsibility for the payment of energy charges from</w:t>
      </w:r>
      <w:r w:rsidR="00F079C4">
        <w:t xml:space="preserve"> </w:t>
      </w:r>
      <w:r w:rsidRPr="00F079C4">
        <w:t>the date of connection until the date of taking over by the Engineer.</w:t>
      </w:r>
    </w:p>
    <w:p w14:paraId="1F633779" w14:textId="77777777" w:rsidR="00CD3485" w:rsidRDefault="00E657F5" w:rsidP="00CD3485">
      <w:pPr>
        <w:pStyle w:val="Heading2"/>
      </w:pPr>
      <w:r>
        <w:t>Provision and commissioning by</w:t>
      </w:r>
      <w:r w:rsidR="00C5694A">
        <w:t xml:space="preserve"> the</w:t>
      </w:r>
      <w:r>
        <w:t xml:space="preserve"> </w:t>
      </w:r>
      <w:r w:rsidR="00BF6760">
        <w:t xml:space="preserve">County </w:t>
      </w:r>
      <w:r>
        <w:t>Council</w:t>
      </w:r>
    </w:p>
    <w:p w14:paraId="3C53E650" w14:textId="77777777" w:rsidR="00CD3485" w:rsidRDefault="00E657F5" w:rsidP="00715FC4">
      <w:r w:rsidRPr="00715FC4">
        <w:t>Should the Developer require the County Council to carry out the provision and commissioning</w:t>
      </w:r>
      <w:r>
        <w:t xml:space="preserve"> </w:t>
      </w:r>
      <w:r w:rsidRPr="00715FC4">
        <w:t>of the street lighting installation at a site within the County Council's area, this may, at the</w:t>
      </w:r>
      <w:r>
        <w:t xml:space="preserve"> </w:t>
      </w:r>
      <w:r w:rsidRPr="00715FC4">
        <w:t>discretion of the Engineer, be arranged against an official order issued by the Developer to the</w:t>
      </w:r>
      <w:r>
        <w:t xml:space="preserve"> </w:t>
      </w:r>
      <w:r w:rsidRPr="00715FC4">
        <w:t>County Council which shall include for the provision of service connections by the DNO.</w:t>
      </w:r>
    </w:p>
    <w:p w14:paraId="79B75E3B" w14:textId="77777777" w:rsidR="00CD3485" w:rsidRPr="00CD3485" w:rsidRDefault="00E657F5" w:rsidP="00CD3485">
      <w:pPr>
        <w:pStyle w:val="Heading2"/>
      </w:pPr>
      <w:r>
        <w:t>Standard and type of lighting</w:t>
      </w:r>
    </w:p>
    <w:p w14:paraId="0AA6EF1A" w14:textId="77777777" w:rsidR="00715FC4" w:rsidRPr="00715FC4" w:rsidRDefault="00E657F5" w:rsidP="00715FC4">
      <w:r w:rsidRPr="00715FC4">
        <w:t>In order that the Engineer can specify the standard and type of lighting required on a</w:t>
      </w:r>
    </w:p>
    <w:p w14:paraId="412F810D" w14:textId="77777777" w:rsidR="00715FC4" w:rsidRPr="00715FC4" w:rsidRDefault="00E657F5" w:rsidP="00715FC4">
      <w:r w:rsidRPr="00715FC4">
        <w:t>development, the Developer shall</w:t>
      </w:r>
      <w:r>
        <w:t>:</w:t>
      </w:r>
    </w:p>
    <w:p w14:paraId="5676A9EF" w14:textId="77777777" w:rsidR="00195E37" w:rsidRDefault="00E657F5" w:rsidP="00876477">
      <w:pPr>
        <w:pStyle w:val="ListParagraph"/>
        <w:numPr>
          <w:ilvl w:val="0"/>
          <w:numId w:val="12"/>
        </w:numPr>
      </w:pPr>
      <w:r w:rsidRPr="00715FC4">
        <w:t>Supply two copies of the site plan</w:t>
      </w:r>
      <w:r w:rsidR="0055549D">
        <w:t xml:space="preserve"> in .dwg format</w:t>
      </w:r>
      <w:r w:rsidRPr="00715FC4">
        <w:t xml:space="preserve"> to the Engineer who will design the lighting scheme</w:t>
      </w:r>
      <w:r>
        <w:t xml:space="preserve"> </w:t>
      </w:r>
      <w:r w:rsidRPr="00715FC4">
        <w:t>and return the plans marked up to indicate the approximate locations of the lighting</w:t>
      </w:r>
      <w:r>
        <w:t xml:space="preserve"> </w:t>
      </w:r>
      <w:r w:rsidRPr="00715FC4">
        <w:t xml:space="preserve">columns (and wall brackets where appropriate) together with two copies of </w:t>
      </w:r>
      <w:r w:rsidR="0055549D">
        <w:t xml:space="preserve">a </w:t>
      </w:r>
      <w:r w:rsidRPr="00715FC4">
        <w:t>completed</w:t>
      </w:r>
      <w:r>
        <w:t xml:space="preserve"> </w:t>
      </w:r>
      <w:r w:rsidR="00C51C53" w:rsidRPr="00651016">
        <w:t>schedule</w:t>
      </w:r>
      <w:r w:rsidR="004D43F2">
        <w:t xml:space="preserve"> </w:t>
      </w:r>
      <w:r w:rsidRPr="00715FC4">
        <w:t>detailing the type of equipment to</w:t>
      </w:r>
      <w:r>
        <w:t xml:space="preserve"> </w:t>
      </w:r>
      <w:r w:rsidRPr="00715FC4">
        <w:t>be provided and installed. The Developer will be required to reimburse the County</w:t>
      </w:r>
      <w:r>
        <w:t xml:space="preserve"> </w:t>
      </w:r>
      <w:r w:rsidRPr="00715FC4">
        <w:t>Council for the cost of the time spent by the Engineer in designing the scheme and</w:t>
      </w:r>
      <w:r>
        <w:t xml:space="preserve"> </w:t>
      </w:r>
      <w:r w:rsidRPr="00715FC4">
        <w:t xml:space="preserve">for which an estimate can, if requested, be given in advance. </w:t>
      </w:r>
    </w:p>
    <w:p w14:paraId="21622A57" w14:textId="77777777" w:rsidR="00715FC4" w:rsidRPr="00715FC4" w:rsidRDefault="00E657F5" w:rsidP="00C51C53">
      <w:pPr>
        <w:pStyle w:val="ListParagraph"/>
        <w:ind w:left="0"/>
      </w:pPr>
      <w:r w:rsidRPr="00715FC4">
        <w:t>Alternatively, the</w:t>
      </w:r>
      <w:r>
        <w:t xml:space="preserve"> </w:t>
      </w:r>
      <w:r w:rsidRPr="00715FC4">
        <w:t>Developer shall</w:t>
      </w:r>
      <w:r w:rsidR="00195E37">
        <w:t>;</w:t>
      </w:r>
    </w:p>
    <w:p w14:paraId="4DFF1064" w14:textId="77777777" w:rsidR="003661B9" w:rsidRDefault="00E657F5" w:rsidP="00876477">
      <w:pPr>
        <w:pStyle w:val="ListParagraph"/>
        <w:numPr>
          <w:ilvl w:val="0"/>
          <w:numId w:val="12"/>
        </w:numPr>
      </w:pPr>
      <w:r w:rsidRPr="00715FC4">
        <w:t>Supply two copies of the site plan for the use of the Engineer who will return one</w:t>
      </w:r>
      <w:r w:rsidR="00825300">
        <w:t xml:space="preserve"> </w:t>
      </w:r>
      <w:r w:rsidRPr="00715FC4">
        <w:t xml:space="preserve">copy together with </w:t>
      </w:r>
      <w:r w:rsidR="00C51C53">
        <w:t xml:space="preserve">a </w:t>
      </w:r>
      <w:r w:rsidRPr="00715FC4">
        <w:t xml:space="preserve">completed </w:t>
      </w:r>
      <w:r w:rsidR="00651016">
        <w:t>s</w:t>
      </w:r>
      <w:r w:rsidRPr="00715FC4">
        <w:t>chedule indicating the standard of lighting required</w:t>
      </w:r>
      <w:r w:rsidR="00825300">
        <w:t xml:space="preserve"> </w:t>
      </w:r>
      <w:r w:rsidRPr="00715FC4">
        <w:t>and the type of equipment to be used. The Developer must then arrange for the</w:t>
      </w:r>
      <w:r w:rsidR="00825300">
        <w:t xml:space="preserve"> </w:t>
      </w:r>
      <w:r w:rsidRPr="00715FC4">
        <w:t xml:space="preserve">lighting scheme to be designed, in accordance with the current </w:t>
      </w:r>
      <w:r w:rsidR="00CA71F8">
        <w:t>LCC</w:t>
      </w:r>
      <w:r w:rsidRPr="00715FC4">
        <w:t xml:space="preserve"> Code of Practice on Road Lighting and Highway Electrical </w:t>
      </w:r>
      <w:r w:rsidR="00A15D5E" w:rsidRPr="00715FC4">
        <w:t>Systems Design and</w:t>
      </w:r>
      <w:r w:rsidRPr="00715FC4">
        <w:t xml:space="preserve"> submit two copies of the proposed lighting layout plan for the formal approval</w:t>
      </w:r>
      <w:r w:rsidR="00825300">
        <w:t xml:space="preserve"> </w:t>
      </w:r>
      <w:r w:rsidRPr="00715FC4">
        <w:t>of the Engineer.</w:t>
      </w:r>
    </w:p>
    <w:p w14:paraId="4D249C6D" w14:textId="77777777" w:rsidR="00CD3485" w:rsidRPr="003661B9" w:rsidRDefault="00E657F5" w:rsidP="00CD3485">
      <w:pPr>
        <w:pStyle w:val="Heading2"/>
      </w:pPr>
      <w:r>
        <w:t>Lighting equipment</w:t>
      </w:r>
    </w:p>
    <w:p w14:paraId="1091E21C" w14:textId="77777777" w:rsidR="00A15D5E" w:rsidRPr="00A15D5E" w:rsidRDefault="00E657F5" w:rsidP="00A15D5E">
      <w:r w:rsidRPr="00A15D5E">
        <w:t>Lighting equipment shall be in accordance with the current L</w:t>
      </w:r>
      <w:r w:rsidR="00CA71F8">
        <w:t>CC</w:t>
      </w:r>
      <w:r w:rsidRPr="00A15D5E">
        <w:t xml:space="preserve"> List of</w:t>
      </w:r>
      <w:r>
        <w:t xml:space="preserve"> </w:t>
      </w:r>
      <w:r w:rsidRPr="00A15D5E">
        <w:t>Approved Equipment.</w:t>
      </w:r>
    </w:p>
    <w:p w14:paraId="479BFDD9" w14:textId="77777777" w:rsidR="003661B9" w:rsidRDefault="00E657F5" w:rsidP="00A15D5E">
      <w:r w:rsidRPr="00A15D5E">
        <w:t>The Developer shall provide and install equipment detailed by the Engineer on</w:t>
      </w:r>
      <w:r w:rsidR="00B44937">
        <w:t xml:space="preserve"> the</w:t>
      </w:r>
      <w:r w:rsidRPr="00A15D5E">
        <w:t xml:space="preserve"> </w:t>
      </w:r>
      <w:r w:rsidR="00B44937">
        <w:t>s</w:t>
      </w:r>
      <w:r w:rsidRPr="00A15D5E">
        <w:t>chedule.</w:t>
      </w:r>
    </w:p>
    <w:p w14:paraId="46665815" w14:textId="77777777" w:rsidR="003661B9" w:rsidRPr="003661B9" w:rsidRDefault="00E657F5" w:rsidP="00782E3B">
      <w:pPr>
        <w:pStyle w:val="Heading2"/>
      </w:pPr>
      <w:r>
        <w:t xml:space="preserve">Approval of column </w:t>
      </w:r>
      <w:r w:rsidR="00782E3B">
        <w:t>and wall bracket positions on site</w:t>
      </w:r>
    </w:p>
    <w:p w14:paraId="5F4DE6D5" w14:textId="77777777" w:rsidR="003661B9" w:rsidRDefault="00E657F5" w:rsidP="00A74890">
      <w:r w:rsidRPr="00A74890">
        <w:t xml:space="preserve">The Developer shall obtain the approval of the Engineer </w:t>
      </w:r>
      <w:r w:rsidR="00AA50C0" w:rsidRPr="00A74890">
        <w:t>regarding</w:t>
      </w:r>
      <w:r w:rsidRPr="00A74890">
        <w:t xml:space="preserve"> the precise positions of</w:t>
      </w:r>
      <w:r>
        <w:t xml:space="preserve"> </w:t>
      </w:r>
      <w:r w:rsidRPr="00A74890">
        <w:t>the lighting columns, wall brackets and other electrical equipment on site prior to the</w:t>
      </w:r>
      <w:r>
        <w:t xml:space="preserve"> </w:t>
      </w:r>
      <w:r w:rsidRPr="00A74890">
        <w:t>commencement of erection</w:t>
      </w:r>
      <w:r>
        <w:t>.</w:t>
      </w:r>
    </w:p>
    <w:p w14:paraId="4A9D64FA" w14:textId="77777777" w:rsidR="00782E3B" w:rsidRPr="003661B9" w:rsidRDefault="00E657F5" w:rsidP="00782E3B">
      <w:pPr>
        <w:pStyle w:val="Heading2"/>
      </w:pPr>
      <w:r>
        <w:t>Locations of columns</w:t>
      </w:r>
    </w:p>
    <w:p w14:paraId="13379E5E" w14:textId="77777777" w:rsidR="00BB31E2" w:rsidRDefault="00E657F5" w:rsidP="00A74890">
      <w:r w:rsidRPr="00A74890">
        <w:t>Columns, unless otherwise determined by the Engineer, shall be located:</w:t>
      </w:r>
    </w:p>
    <w:p w14:paraId="57C343EE" w14:textId="77777777" w:rsidR="004211F6" w:rsidRPr="004211F6" w:rsidRDefault="00E657F5" w:rsidP="00876477">
      <w:pPr>
        <w:pStyle w:val="ListParagraph"/>
        <w:numPr>
          <w:ilvl w:val="0"/>
          <w:numId w:val="12"/>
        </w:numPr>
      </w:pPr>
      <w:r>
        <w:t>A</w:t>
      </w:r>
      <w:r w:rsidRPr="004211F6">
        <w:t>t the rear of the footway (where no verge is proposed),</w:t>
      </w:r>
    </w:p>
    <w:p w14:paraId="7911DBBF" w14:textId="77777777" w:rsidR="00086D04" w:rsidRDefault="00E657F5" w:rsidP="00876477">
      <w:pPr>
        <w:pStyle w:val="ListParagraph"/>
        <w:numPr>
          <w:ilvl w:val="0"/>
          <w:numId w:val="12"/>
        </w:numPr>
      </w:pPr>
      <w:r>
        <w:t>A</w:t>
      </w:r>
      <w:r w:rsidRPr="004211F6">
        <w:t xml:space="preserve">t </w:t>
      </w:r>
      <w:r w:rsidR="004211F6" w:rsidRPr="004211F6">
        <w:t>the rear of the grass verge (where a verge is provided between footway and</w:t>
      </w:r>
      <w:r w:rsidR="004211F6">
        <w:t xml:space="preserve"> </w:t>
      </w:r>
      <w:r w:rsidR="004211F6" w:rsidRPr="004211F6">
        <w:t>carriageway),</w:t>
      </w:r>
    </w:p>
    <w:p w14:paraId="3D2829DE" w14:textId="77777777" w:rsidR="004211F6" w:rsidRDefault="00E657F5" w:rsidP="00876477">
      <w:pPr>
        <w:pStyle w:val="ListParagraph"/>
        <w:numPr>
          <w:ilvl w:val="0"/>
          <w:numId w:val="12"/>
        </w:numPr>
      </w:pPr>
      <w:r>
        <w:t>O</w:t>
      </w:r>
      <w:r w:rsidRPr="004211F6">
        <w:t>n developments utilising 'car ways'</w:t>
      </w:r>
      <w:r w:rsidR="0010785D">
        <w:t xml:space="preserve"> </w:t>
      </w:r>
      <w:r w:rsidRPr="004211F6">
        <w:t>and joint use cul-de-sacs where sited in the adopted service strip or on an adopted footway where it</w:t>
      </w:r>
      <w:r w:rsidR="0010785D">
        <w:t xml:space="preserve"> </w:t>
      </w:r>
      <w:r w:rsidRPr="004211F6">
        <w:t>intercepts the shared carriageway surface, 0.5 metres back from the shared surface</w:t>
      </w:r>
      <w:r w:rsidR="0010785D">
        <w:t xml:space="preserve"> </w:t>
      </w:r>
      <w:r w:rsidRPr="004211F6">
        <w:t xml:space="preserve">edging. </w:t>
      </w:r>
    </w:p>
    <w:p w14:paraId="48DB10AD" w14:textId="77777777" w:rsidR="00E26FC9" w:rsidRDefault="00E657F5" w:rsidP="00E26FC9">
      <w:r w:rsidRPr="00E26FC9">
        <w:t>The door of the column shall face the footway, or the carriageway where there is no separate</w:t>
      </w:r>
      <w:r>
        <w:t xml:space="preserve"> </w:t>
      </w:r>
      <w:r w:rsidRPr="00E26FC9">
        <w:t>footway.</w:t>
      </w:r>
    </w:p>
    <w:p w14:paraId="171B8D53" w14:textId="77777777" w:rsidR="00E37B20" w:rsidRDefault="00E657F5" w:rsidP="00E26FC9">
      <w:pPr>
        <w:pStyle w:val="Heading2"/>
      </w:pPr>
      <w:r w:rsidRPr="00291BC3">
        <w:t>Installation</w:t>
      </w:r>
    </w:p>
    <w:p w14:paraId="17095FC7" w14:textId="77777777" w:rsidR="00493C10" w:rsidRPr="00493C10" w:rsidRDefault="00E657F5" w:rsidP="00493C10">
      <w:pPr>
        <w:pStyle w:val="Heading3"/>
      </w:pPr>
      <w:r w:rsidRPr="00493C10">
        <w:t>Electricity Service Connections</w:t>
      </w:r>
    </w:p>
    <w:p w14:paraId="5DAC18BA" w14:textId="77777777" w:rsidR="00493C10" w:rsidRPr="00493C10" w:rsidRDefault="00E657F5" w:rsidP="00493C10">
      <w:r w:rsidRPr="00493C10">
        <w:t>The Developer shall instruct the DNO and shall pay the cost of providing an underground</w:t>
      </w:r>
      <w:r>
        <w:t xml:space="preserve"> </w:t>
      </w:r>
      <w:r w:rsidRPr="00493C10">
        <w:t>service to each lighting column.</w:t>
      </w:r>
    </w:p>
    <w:p w14:paraId="2E3D83B1" w14:textId="77777777" w:rsidR="00493C10" w:rsidRPr="00493C10" w:rsidRDefault="00E657F5" w:rsidP="00493C10">
      <w:r w:rsidRPr="00493C10">
        <w:t>The developer shall inform the County Council if it intends to use the services of an</w:t>
      </w:r>
      <w:r>
        <w:t xml:space="preserve"> </w:t>
      </w:r>
      <w:r w:rsidRPr="00493C10">
        <w:t>Independent Distribution Network Operator (IDNO).</w:t>
      </w:r>
    </w:p>
    <w:p w14:paraId="08F1FB44" w14:textId="77777777" w:rsidR="00493C10" w:rsidRPr="00493C10" w:rsidRDefault="00E657F5" w:rsidP="00493C10">
      <w:r w:rsidRPr="00493C10">
        <w:t>All cables will normally be DNO cables forming part of the DNO mains network on</w:t>
      </w:r>
      <w:r>
        <w:t xml:space="preserve"> </w:t>
      </w:r>
      <w:r w:rsidRPr="00493C10">
        <w:t>completion.</w:t>
      </w:r>
    </w:p>
    <w:p w14:paraId="46410AA3" w14:textId="77777777" w:rsidR="00493C10" w:rsidRPr="00493C10" w:rsidRDefault="00E657F5" w:rsidP="00493C10">
      <w:r w:rsidRPr="00493C10">
        <w:t>Exceptionally, for illuminated traffic signs and bollards and for lighting columns on foot</w:t>
      </w:r>
      <w:r w:rsidR="00807337">
        <w:t>ways</w:t>
      </w:r>
      <w:r>
        <w:t xml:space="preserve"> </w:t>
      </w:r>
      <w:r w:rsidRPr="00493C10">
        <w:t>remote from DNO mains, isolatable cables may be considered which will become the</w:t>
      </w:r>
      <w:r>
        <w:t xml:space="preserve"> </w:t>
      </w:r>
      <w:r w:rsidRPr="00493C10">
        <w:t>responsibility of the Highway Authority on adoption.</w:t>
      </w:r>
    </w:p>
    <w:p w14:paraId="4841EC20" w14:textId="77777777" w:rsidR="00493C10" w:rsidRPr="00493C10" w:rsidRDefault="00E657F5" w:rsidP="00493C10">
      <w:r w:rsidRPr="00493C10">
        <w:t>Such cables shall be subject to a specific design and specification agreed with the County</w:t>
      </w:r>
      <w:r>
        <w:t xml:space="preserve"> </w:t>
      </w:r>
      <w:r w:rsidRPr="00493C10">
        <w:t>Council in every case.</w:t>
      </w:r>
    </w:p>
    <w:p w14:paraId="240C6A75" w14:textId="77777777" w:rsidR="00493C10" w:rsidRPr="00493C10" w:rsidRDefault="00E657F5" w:rsidP="00493C10">
      <w:pPr>
        <w:pStyle w:val="Heading3"/>
      </w:pPr>
      <w:r w:rsidRPr="00493C10">
        <w:t>Equipment Erection</w:t>
      </w:r>
    </w:p>
    <w:p w14:paraId="0B5CD463" w14:textId="77777777" w:rsidR="00493C10" w:rsidRPr="00493C10" w:rsidRDefault="00E657F5" w:rsidP="00493C10">
      <w:r w:rsidRPr="00493C10">
        <w:t>Equipment erection shall be in accordance with the current L</w:t>
      </w:r>
      <w:r w:rsidR="00CA71F8">
        <w:t>CC</w:t>
      </w:r>
      <w:r w:rsidRPr="00493C10">
        <w:t xml:space="preserve"> Special</w:t>
      </w:r>
      <w:r>
        <w:t xml:space="preserve"> </w:t>
      </w:r>
      <w:r w:rsidRPr="00493C10">
        <w:t>Details - Electrical.</w:t>
      </w:r>
    </w:p>
    <w:p w14:paraId="034C9131" w14:textId="77777777" w:rsidR="00493C10" w:rsidRPr="00493C10" w:rsidRDefault="00E657F5" w:rsidP="00493C10">
      <w:pPr>
        <w:pStyle w:val="Heading3"/>
      </w:pPr>
      <w:r w:rsidRPr="00493C10">
        <w:t>Damage to Services</w:t>
      </w:r>
    </w:p>
    <w:p w14:paraId="2B6AB342" w14:textId="77777777" w:rsidR="00493C10" w:rsidRPr="00493C10" w:rsidRDefault="00E657F5" w:rsidP="00493C10">
      <w:r w:rsidRPr="00493C10">
        <w:t>The Developer will be held responsible for any damage to services or underground works or to</w:t>
      </w:r>
      <w:r>
        <w:t xml:space="preserve"> </w:t>
      </w:r>
      <w:r w:rsidRPr="00493C10">
        <w:t>any overhead services or works caused during, or in consequence of, any part of the</w:t>
      </w:r>
      <w:r>
        <w:t xml:space="preserve"> </w:t>
      </w:r>
      <w:r w:rsidRPr="00493C10">
        <w:t>installation work.</w:t>
      </w:r>
    </w:p>
    <w:p w14:paraId="376BB622" w14:textId="77777777" w:rsidR="00493C10" w:rsidRPr="00493C10" w:rsidRDefault="00E657F5" w:rsidP="00493C10">
      <w:pPr>
        <w:pStyle w:val="Heading3"/>
      </w:pPr>
      <w:r w:rsidRPr="00493C10">
        <w:t>Reinstatement</w:t>
      </w:r>
    </w:p>
    <w:p w14:paraId="3A3707F3" w14:textId="77777777" w:rsidR="00493C10" w:rsidRDefault="00E657F5" w:rsidP="00493C10">
      <w:r w:rsidRPr="00493C10">
        <w:t>The Developer shall be responsible for all permanent reinstatements including those of</w:t>
      </w:r>
      <w:r>
        <w:t xml:space="preserve"> </w:t>
      </w:r>
      <w:r w:rsidRPr="00493C10">
        <w:t>excavations due to the provision of electricity services</w:t>
      </w:r>
      <w:r>
        <w:t>.</w:t>
      </w:r>
    </w:p>
    <w:p w14:paraId="6C38C7B2" w14:textId="77777777" w:rsidR="00C864A8" w:rsidRPr="00493C10" w:rsidRDefault="00E657F5" w:rsidP="00493C10">
      <w:r>
        <w:t xml:space="preserve">Reinstatements shall be </w:t>
      </w:r>
      <w:r w:rsidR="008D58F3">
        <w:t>under</w:t>
      </w:r>
      <w:r w:rsidR="0040272C">
        <w:t xml:space="preserve">taken in accordance with </w:t>
      </w:r>
      <w:r w:rsidR="00040BAB">
        <w:t xml:space="preserve">Specification for the Reinstatement of Openings in Highways (SROH). </w:t>
      </w:r>
      <w:r w:rsidR="00B338D5">
        <w:t>Notwithstanding the requirements of SROH the p</w:t>
      </w:r>
      <w:r w:rsidR="00040BAB">
        <w:t>avement</w:t>
      </w:r>
      <w:r w:rsidR="00F53668">
        <w:t>, including foundation material thickness</w:t>
      </w:r>
      <w:r w:rsidR="00E5271B">
        <w:t>es</w:t>
      </w:r>
      <w:r w:rsidR="00F53668">
        <w:t xml:space="preserve"> shall be at least equivalent to the requirements of table 6</w:t>
      </w:r>
      <w:r w:rsidR="00A8224C">
        <w:t>, for the specific road type,</w:t>
      </w:r>
      <w:r w:rsidR="00F53668">
        <w:t xml:space="preserve"> of this specification</w:t>
      </w:r>
      <w:r w:rsidR="00B338D5">
        <w:t>.</w:t>
      </w:r>
    </w:p>
    <w:p w14:paraId="5951F05F" w14:textId="77777777" w:rsidR="00493C10" w:rsidRPr="00493C10" w:rsidRDefault="00E657F5" w:rsidP="00493C10">
      <w:pPr>
        <w:pStyle w:val="Heading3"/>
      </w:pPr>
      <w:r w:rsidRPr="00493C10">
        <w:t>Removal of Existing Equipment</w:t>
      </w:r>
    </w:p>
    <w:p w14:paraId="377F5E54" w14:textId="77777777" w:rsidR="00493C10" w:rsidRDefault="00E657F5" w:rsidP="00493C10">
      <w:r w:rsidRPr="00493C10">
        <w:t>The Developer shall bear the cost of removing or re-siting any existing lighting equipment</w:t>
      </w:r>
      <w:r>
        <w:t xml:space="preserve"> </w:t>
      </w:r>
      <w:r w:rsidRPr="00493C10">
        <w:t xml:space="preserve">affected by the </w:t>
      </w:r>
      <w:r w:rsidR="0080329C">
        <w:t>d</w:t>
      </w:r>
      <w:r w:rsidR="0080329C" w:rsidRPr="00493C10">
        <w:t>evelopment</w:t>
      </w:r>
      <w:r w:rsidRPr="00493C10">
        <w:t>. The Developer shall place an order with the County</w:t>
      </w:r>
      <w:r>
        <w:t xml:space="preserve"> </w:t>
      </w:r>
      <w:r w:rsidRPr="00493C10">
        <w:t>Council covering the disconnection, removal, re</w:t>
      </w:r>
      <w:r w:rsidR="00540273">
        <w:t>-</w:t>
      </w:r>
      <w:r w:rsidRPr="00493C10">
        <w:t>siting, reconnection and</w:t>
      </w:r>
      <w:r>
        <w:t xml:space="preserve"> </w:t>
      </w:r>
      <w:r w:rsidRPr="00493C10">
        <w:t>commissioning of this equipment and the provision of any additional equipment necessitated</w:t>
      </w:r>
      <w:r>
        <w:t xml:space="preserve"> </w:t>
      </w:r>
      <w:r w:rsidRPr="00493C10">
        <w:t>on existing highways by the development.</w:t>
      </w:r>
    </w:p>
    <w:p w14:paraId="2C5292FC" w14:textId="77777777" w:rsidR="00E26FC9" w:rsidRPr="00E26FC9" w:rsidRDefault="00E657F5" w:rsidP="00E26FC9">
      <w:pPr>
        <w:spacing w:after="0"/>
        <w:jc w:val="left"/>
      </w:pPr>
      <w:r w:rsidRPr="00E26FC9">
        <w:t>Compliance with Regulations.</w:t>
      </w:r>
      <w:r>
        <w:t xml:space="preserve"> </w:t>
      </w:r>
      <w:r w:rsidRPr="00E26FC9">
        <w:t>All equipment shall be installed in full compliance with the current edition of:</w:t>
      </w:r>
    </w:p>
    <w:p w14:paraId="76DD988C" w14:textId="77777777" w:rsidR="00E26FC9" w:rsidRPr="00E26FC9" w:rsidRDefault="00E657F5" w:rsidP="00876477">
      <w:pPr>
        <w:pStyle w:val="ListParagraph"/>
        <w:numPr>
          <w:ilvl w:val="0"/>
          <w:numId w:val="13"/>
        </w:numPr>
        <w:spacing w:after="0"/>
        <w:jc w:val="left"/>
      </w:pPr>
      <w:r w:rsidRPr="00E26FC9">
        <w:t>BS</w:t>
      </w:r>
      <w:r w:rsidR="006D4EEC">
        <w:t xml:space="preserve"> </w:t>
      </w:r>
      <w:r w:rsidRPr="00E26FC9">
        <w:t xml:space="preserve">7671 Institution of </w:t>
      </w:r>
      <w:r w:rsidR="006D4EEC">
        <w:t>Engineering and Technology</w:t>
      </w:r>
      <w:r w:rsidRPr="00E26FC9">
        <w:t xml:space="preserve"> (IE</w:t>
      </w:r>
      <w:r w:rsidR="006D4EEC">
        <w:t>T</w:t>
      </w:r>
      <w:r w:rsidRPr="00E26FC9">
        <w:t>) Regulations for Electrical</w:t>
      </w:r>
      <w:r>
        <w:t xml:space="preserve"> </w:t>
      </w:r>
      <w:r w:rsidRPr="00E26FC9">
        <w:t>Installation</w:t>
      </w:r>
      <w:r w:rsidR="00746D65">
        <w:t>,</w:t>
      </w:r>
    </w:p>
    <w:p w14:paraId="2E322C3F" w14:textId="77777777" w:rsidR="006D4EEC" w:rsidRDefault="00E657F5" w:rsidP="00746A2C">
      <w:pPr>
        <w:pStyle w:val="ListParagraph"/>
        <w:numPr>
          <w:ilvl w:val="0"/>
          <w:numId w:val="13"/>
        </w:numPr>
        <w:spacing w:after="0"/>
        <w:jc w:val="left"/>
      </w:pPr>
      <w:r w:rsidRPr="00E26FC9">
        <w:t xml:space="preserve">Institution of Lighting </w:t>
      </w:r>
      <w:r>
        <w:t>Professionals</w:t>
      </w:r>
      <w:r w:rsidRPr="00E26FC9">
        <w:t xml:space="preserve"> (IL</w:t>
      </w:r>
      <w:r>
        <w:t>P</w:t>
      </w:r>
      <w:r w:rsidRPr="00E26FC9">
        <w:t xml:space="preserve">) </w:t>
      </w:r>
      <w:r w:rsidRPr="006D4EEC">
        <w:t xml:space="preserve">Code of practice for electrical safety in highway electrical operations </w:t>
      </w:r>
    </w:p>
    <w:p w14:paraId="55D82A41" w14:textId="77777777" w:rsidR="00E26FC9" w:rsidRPr="00E26FC9" w:rsidRDefault="00E657F5" w:rsidP="00746A2C">
      <w:pPr>
        <w:pStyle w:val="ListParagraph"/>
        <w:numPr>
          <w:ilvl w:val="0"/>
          <w:numId w:val="13"/>
        </w:numPr>
        <w:spacing w:after="0"/>
        <w:jc w:val="left"/>
      </w:pPr>
      <w:r w:rsidRPr="00E26FC9">
        <w:t>The Electrical Supply Regulations</w:t>
      </w:r>
      <w:r w:rsidR="00746D65">
        <w:t>,</w:t>
      </w:r>
    </w:p>
    <w:p w14:paraId="60D9D062" w14:textId="77777777" w:rsidR="00291BC3" w:rsidRDefault="00E657F5" w:rsidP="00876477">
      <w:pPr>
        <w:pStyle w:val="BodyText"/>
        <w:numPr>
          <w:ilvl w:val="0"/>
          <w:numId w:val="13"/>
        </w:numPr>
      </w:pPr>
      <w:r w:rsidRPr="00E26FC9">
        <w:t>The Electricity at Work Regulations.</w:t>
      </w:r>
    </w:p>
    <w:p w14:paraId="1F1C3877" w14:textId="77777777" w:rsidR="00E37B20" w:rsidRDefault="00E657F5" w:rsidP="00E37B20">
      <w:pPr>
        <w:pStyle w:val="Heading3"/>
        <w:rPr>
          <w:rFonts w:eastAsia="Cambria" w:cs="Arial"/>
          <w:b w:val="0"/>
          <w:bCs w:val="0"/>
          <w:sz w:val="17"/>
          <w:szCs w:val="17"/>
          <w:lang w:eastAsia="en-GB"/>
        </w:rPr>
      </w:pPr>
      <w:r w:rsidRPr="00E37B20">
        <w:t>Numbering of columns</w:t>
      </w:r>
    </w:p>
    <w:p w14:paraId="18AEE02F" w14:textId="77777777" w:rsidR="00E37B20" w:rsidRDefault="00E657F5" w:rsidP="00E37B20">
      <w:r w:rsidRPr="00E37B20">
        <w:t xml:space="preserve">Each </w:t>
      </w:r>
      <w:r>
        <w:t>c</w:t>
      </w:r>
      <w:r w:rsidRPr="00E37B20">
        <w:t>olumn illuminated sign and bollard shall be numbered in accordance with instructions</w:t>
      </w:r>
      <w:r>
        <w:t xml:space="preserve"> </w:t>
      </w:r>
      <w:r w:rsidRPr="00E37B20">
        <w:t>given by the Engineer.</w:t>
      </w:r>
    </w:p>
    <w:p w14:paraId="07DB3256" w14:textId="77777777" w:rsidR="00291BC3" w:rsidRDefault="00E657F5" w:rsidP="00291BC3">
      <w:pPr>
        <w:pStyle w:val="Heading2"/>
      </w:pPr>
      <w:r>
        <w:t>Lighting columns</w:t>
      </w:r>
    </w:p>
    <w:p w14:paraId="7F26B6C0" w14:textId="77777777" w:rsidR="00EC025C" w:rsidRPr="00EC025C" w:rsidRDefault="00E657F5" w:rsidP="00EC025C">
      <w:r w:rsidRPr="00EC025C">
        <w:t>Lighting Columns shall be in accordance with the current L</w:t>
      </w:r>
      <w:r w:rsidR="00CA71F8">
        <w:t xml:space="preserve">CC </w:t>
      </w:r>
      <w:r w:rsidRPr="00EC025C">
        <w:t>Lighting</w:t>
      </w:r>
      <w:r>
        <w:t xml:space="preserve"> </w:t>
      </w:r>
      <w:r w:rsidRPr="00EC025C">
        <w:t>Column Specification.</w:t>
      </w:r>
    </w:p>
    <w:p w14:paraId="0B3DD5B8" w14:textId="77777777" w:rsidR="00291BC3" w:rsidRDefault="00E657F5" w:rsidP="00291BC3">
      <w:pPr>
        <w:pStyle w:val="Heading2"/>
      </w:pPr>
      <w:r>
        <w:t>Posts for traffic signs</w:t>
      </w:r>
    </w:p>
    <w:p w14:paraId="5E3CB1F5" w14:textId="77777777" w:rsidR="00EC025C" w:rsidRPr="00EC025C" w:rsidRDefault="00E657F5" w:rsidP="00EC025C">
      <w:r w:rsidRPr="00EC025C">
        <w:t xml:space="preserve">Posts for </w:t>
      </w:r>
      <w:r w:rsidR="00746D65">
        <w:t>t</w:t>
      </w:r>
      <w:r w:rsidR="00746D65" w:rsidRPr="00EC025C">
        <w:t xml:space="preserve">raffic </w:t>
      </w:r>
      <w:r w:rsidR="00746D65">
        <w:t>s</w:t>
      </w:r>
      <w:r w:rsidR="00746D65" w:rsidRPr="00EC025C">
        <w:t xml:space="preserve">igns </w:t>
      </w:r>
      <w:r w:rsidRPr="00EC025C">
        <w:t>shall be in accordance with the current L</w:t>
      </w:r>
      <w:r w:rsidR="00CA71F8">
        <w:t>CC</w:t>
      </w:r>
      <w:r>
        <w:t xml:space="preserve"> </w:t>
      </w:r>
      <w:r w:rsidRPr="00EC025C">
        <w:t>Posts for Traffic Signs Specification.</w:t>
      </w:r>
    </w:p>
    <w:p w14:paraId="5983F418" w14:textId="77777777" w:rsidR="00291BC3" w:rsidRDefault="00E657F5" w:rsidP="00291BC3">
      <w:pPr>
        <w:pStyle w:val="Heading2"/>
      </w:pPr>
      <w:r>
        <w:t>Inspection</w:t>
      </w:r>
    </w:p>
    <w:p w14:paraId="363832BB" w14:textId="77777777" w:rsidR="0074650D" w:rsidRPr="0074650D" w:rsidRDefault="00E657F5" w:rsidP="0074650D">
      <w:r w:rsidRPr="0074650D">
        <w:t>The works shall be available for inspection during all reasonable hours throughout the</w:t>
      </w:r>
      <w:r>
        <w:t xml:space="preserve"> </w:t>
      </w:r>
      <w:r w:rsidRPr="0074650D">
        <w:t>construction period</w:t>
      </w:r>
      <w:r>
        <w:t>.</w:t>
      </w:r>
    </w:p>
    <w:p w14:paraId="24FF0CFF" w14:textId="77777777" w:rsidR="00291BC3" w:rsidRDefault="00E657F5" w:rsidP="00291BC3">
      <w:pPr>
        <w:pStyle w:val="Heading2"/>
      </w:pPr>
      <w:r>
        <w:t>Maintenance</w:t>
      </w:r>
    </w:p>
    <w:p w14:paraId="67A25D0A" w14:textId="77777777" w:rsidR="0074650D" w:rsidRPr="0074650D" w:rsidRDefault="00E657F5" w:rsidP="0074650D">
      <w:r w:rsidRPr="0074650D">
        <w:t>The Engineer will take over commissioned lighting units for operation and maintenance in</w:t>
      </w:r>
      <w:r>
        <w:t xml:space="preserve"> </w:t>
      </w:r>
      <w:r w:rsidRPr="0074650D">
        <w:t xml:space="preserve">advance of completion of the </w:t>
      </w:r>
      <w:r w:rsidR="00CA71F8">
        <w:t>works</w:t>
      </w:r>
      <w:r w:rsidRPr="0074650D">
        <w:t>, provided that</w:t>
      </w:r>
    </w:p>
    <w:p w14:paraId="5AD830A2" w14:textId="77777777" w:rsidR="0074650D" w:rsidRPr="0074650D" w:rsidRDefault="00E657F5" w:rsidP="0074650D">
      <w:r>
        <w:t>T</w:t>
      </w:r>
      <w:r w:rsidRPr="0074650D">
        <w:t>he Engineer is advised within 28 days of the commissioning date of each unit</w:t>
      </w:r>
      <w:r>
        <w:t>,</w:t>
      </w:r>
    </w:p>
    <w:p w14:paraId="32CE9530" w14:textId="77777777" w:rsidR="0074650D" w:rsidRPr="0074650D" w:rsidRDefault="00E657F5" w:rsidP="00876477">
      <w:pPr>
        <w:pStyle w:val="ListParagraph"/>
        <w:numPr>
          <w:ilvl w:val="0"/>
          <w:numId w:val="14"/>
        </w:numPr>
      </w:pPr>
      <w:r>
        <w:t>T</w:t>
      </w:r>
      <w:r w:rsidRPr="0074650D">
        <w:t xml:space="preserve">he installation </w:t>
      </w:r>
      <w:r w:rsidR="00C850C3" w:rsidRPr="0074650D">
        <w:t>is found</w:t>
      </w:r>
      <w:r w:rsidRPr="0074650D">
        <w:t xml:space="preserve"> on inspection, to be satisfactory in all respects</w:t>
      </w:r>
      <w:r>
        <w:t>,</w:t>
      </w:r>
    </w:p>
    <w:p w14:paraId="3A3E2037" w14:textId="77777777" w:rsidR="0074650D" w:rsidRPr="0074650D" w:rsidRDefault="00E657F5" w:rsidP="00876477">
      <w:pPr>
        <w:pStyle w:val="ListParagraph"/>
        <w:numPr>
          <w:ilvl w:val="0"/>
          <w:numId w:val="14"/>
        </w:numPr>
      </w:pPr>
      <w:r w:rsidRPr="0074650D">
        <w:t>(The developer provides a Test Certificate in accordance with BS</w:t>
      </w:r>
      <w:r w:rsidR="006D4EEC">
        <w:t xml:space="preserve"> </w:t>
      </w:r>
      <w:r w:rsidRPr="0074650D">
        <w:t>7671 for each</w:t>
      </w:r>
      <w:r>
        <w:t xml:space="preserve"> </w:t>
      </w:r>
      <w:r w:rsidRPr="0074650D">
        <w:t>unit</w:t>
      </w:r>
      <w:r w:rsidR="00746D65">
        <w:t>,</w:t>
      </w:r>
    </w:p>
    <w:p w14:paraId="7C66A648" w14:textId="77777777" w:rsidR="0074650D" w:rsidRPr="0074650D" w:rsidRDefault="00E657F5" w:rsidP="00876477">
      <w:pPr>
        <w:pStyle w:val="ListParagraph"/>
        <w:numPr>
          <w:ilvl w:val="0"/>
          <w:numId w:val="14"/>
        </w:numPr>
      </w:pPr>
      <w:r>
        <w:t>T</w:t>
      </w:r>
      <w:r w:rsidRPr="0074650D">
        <w:t>he Developer accepts responsibility for the cost of any necessary repairs or</w:t>
      </w:r>
      <w:r>
        <w:t xml:space="preserve"> </w:t>
      </w:r>
      <w:r w:rsidRPr="0074650D">
        <w:t>replacements arising from faulty workmanship, damage, or from the failure of</w:t>
      </w:r>
      <w:r>
        <w:t xml:space="preserve"> </w:t>
      </w:r>
      <w:r w:rsidRPr="0074650D">
        <w:t xml:space="preserve">materials, until the </w:t>
      </w:r>
      <w:r w:rsidR="00CA71F8">
        <w:t>highway is</w:t>
      </w:r>
      <w:r w:rsidRPr="0074650D">
        <w:t xml:space="preserve"> adopted</w:t>
      </w:r>
      <w:r>
        <w:t>,</w:t>
      </w:r>
    </w:p>
    <w:p w14:paraId="0906233A" w14:textId="77777777" w:rsidR="0074650D" w:rsidRPr="0074650D" w:rsidRDefault="00E657F5" w:rsidP="00876477">
      <w:pPr>
        <w:pStyle w:val="ListParagraph"/>
        <w:numPr>
          <w:ilvl w:val="0"/>
          <w:numId w:val="14"/>
        </w:numPr>
      </w:pPr>
      <w:r>
        <w:t>T</w:t>
      </w:r>
      <w:r w:rsidRPr="0074650D">
        <w:t>he lighting units commissioned and offered for maintenance form a continuous</w:t>
      </w:r>
      <w:r>
        <w:t xml:space="preserve"> </w:t>
      </w:r>
      <w:r w:rsidRPr="0074650D">
        <w:t>lighting system with existing public roads and, within the development, illuminate</w:t>
      </w:r>
      <w:r>
        <w:t xml:space="preserve"> </w:t>
      </w:r>
      <w:r w:rsidRPr="0074650D">
        <w:t>complete lengths of road between junctions or to the boundaries of approved phases</w:t>
      </w:r>
      <w:r>
        <w:t xml:space="preserve"> </w:t>
      </w:r>
      <w:r w:rsidRPr="0074650D">
        <w:t>of the development, or entire cul-de-sacs</w:t>
      </w:r>
      <w:r>
        <w:t>,</w:t>
      </w:r>
    </w:p>
    <w:p w14:paraId="4B822057" w14:textId="77777777" w:rsidR="0074650D" w:rsidRDefault="00E657F5" w:rsidP="00876477">
      <w:pPr>
        <w:pStyle w:val="ListParagraph"/>
        <w:numPr>
          <w:ilvl w:val="0"/>
          <w:numId w:val="14"/>
        </w:numPr>
      </w:pPr>
      <w:r>
        <w:t>C</w:t>
      </w:r>
      <w:r w:rsidRPr="0074650D">
        <w:t>ompleted Lighting Inventories have been submitted to</w:t>
      </w:r>
      <w:r>
        <w:t xml:space="preserve"> </w:t>
      </w:r>
      <w:r w:rsidRPr="0074650D">
        <w:t>and</w:t>
      </w:r>
      <w:r>
        <w:t xml:space="preserve"> </w:t>
      </w:r>
      <w:r w:rsidRPr="0074650D">
        <w:t>accepted by the Engineer.</w:t>
      </w:r>
    </w:p>
    <w:p w14:paraId="5A1F9341" w14:textId="77777777" w:rsidR="0074650D" w:rsidRPr="0074650D" w:rsidRDefault="00E657F5" w:rsidP="0074650D">
      <w:r w:rsidRPr="0074650D">
        <w:t>'Taking over' for the purposes of operation and maintenance by the Engineer shall entail</w:t>
      </w:r>
      <w:r>
        <w:t xml:space="preserve"> </w:t>
      </w:r>
      <w:r w:rsidRPr="0074650D">
        <w:t>responsibility for -</w:t>
      </w:r>
    </w:p>
    <w:p w14:paraId="086102CD" w14:textId="77777777" w:rsidR="0074650D" w:rsidRPr="0074650D" w:rsidRDefault="00E657F5" w:rsidP="00876477">
      <w:pPr>
        <w:pStyle w:val="ListParagraph"/>
        <w:numPr>
          <w:ilvl w:val="0"/>
          <w:numId w:val="15"/>
        </w:numPr>
      </w:pPr>
      <w:r>
        <w:t>P</w:t>
      </w:r>
      <w:r w:rsidRPr="0074650D">
        <w:t>ayment of energy charges to the DNO from the date of taking over</w:t>
      </w:r>
      <w:r>
        <w:t>,</w:t>
      </w:r>
    </w:p>
    <w:p w14:paraId="0CB53251" w14:textId="77777777" w:rsidR="00291BC3" w:rsidRDefault="00E657F5" w:rsidP="00876477">
      <w:pPr>
        <w:pStyle w:val="ListParagraph"/>
        <w:numPr>
          <w:ilvl w:val="0"/>
          <w:numId w:val="15"/>
        </w:numPr>
      </w:pPr>
      <w:r>
        <w:t>R</w:t>
      </w:r>
      <w:r w:rsidRPr="0074650D">
        <w:t xml:space="preserve">outine </w:t>
      </w:r>
      <w:r w:rsidR="0074650D" w:rsidRPr="0074650D">
        <w:t>cleaning, lamp replacement and inspection provided that easy access is</w:t>
      </w:r>
      <w:r w:rsidR="0074650D">
        <w:t xml:space="preserve"> </w:t>
      </w:r>
      <w:r w:rsidR="0074650D" w:rsidRPr="0074650D">
        <w:t>available for maintenance vehicles and/or personnel.</w:t>
      </w:r>
    </w:p>
    <w:p w14:paraId="1E57F79D" w14:textId="77777777" w:rsidR="00746D65" w:rsidRPr="0074650D" w:rsidRDefault="00E657F5" w:rsidP="00746D65">
      <w:r w:rsidRPr="0074650D">
        <w:t>(Note: Energy charges from the date of connection to the date of taking over are the</w:t>
      </w:r>
      <w:r>
        <w:t xml:space="preserve"> </w:t>
      </w:r>
      <w:r w:rsidRPr="0074650D">
        <w:t>responsibility of the Developer)</w:t>
      </w:r>
    </w:p>
    <w:p w14:paraId="2FC2FFA1" w14:textId="77777777" w:rsidR="00746D65" w:rsidRPr="00291BC3" w:rsidRDefault="00746D65" w:rsidP="0074650D"/>
    <w:p w14:paraId="66D582CD" w14:textId="77777777" w:rsidR="00BB31E2" w:rsidRPr="003B7520" w:rsidRDefault="00BB31E2" w:rsidP="00A21C4E">
      <w:pPr>
        <w:pStyle w:val="Heading2-numbered"/>
        <w:numPr>
          <w:ilvl w:val="0"/>
          <w:numId w:val="0"/>
        </w:numPr>
      </w:pPr>
    </w:p>
    <w:sectPr w:rsidR="00BB31E2" w:rsidRPr="003B7520" w:rsidSect="00810BA6">
      <w:headerReference w:type="default" r:id="rId23"/>
      <w:footerReference w:type="default" r:id="rId24"/>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E286" w14:textId="77777777" w:rsidR="00F07540" w:rsidRDefault="00E657F5">
      <w:pPr>
        <w:spacing w:after="0"/>
      </w:pPr>
      <w:r>
        <w:separator/>
      </w:r>
    </w:p>
  </w:endnote>
  <w:endnote w:type="continuationSeparator" w:id="0">
    <w:p w14:paraId="19814666" w14:textId="77777777" w:rsidR="00F07540" w:rsidRDefault="00E657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MediumCon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BA70" w14:textId="77777777" w:rsidR="00807337" w:rsidRDefault="00E657F5">
    <w:pPr>
      <w:pStyle w:val="Footer"/>
    </w:pPr>
    <w:r>
      <w:rPr>
        <w:noProof/>
      </w:rPr>
      <w:drawing>
        <wp:anchor distT="0" distB="0" distL="114300" distR="114300" simplePos="0" relativeHeight="251662336" behindDoc="1" locked="0" layoutInCell="1" allowOverlap="1" wp14:anchorId="3DB7BDD8" wp14:editId="4CFADA57">
          <wp:simplePos x="0" y="0"/>
          <wp:positionH relativeFrom="column">
            <wp:posOffset>-914400</wp:posOffset>
          </wp:positionH>
          <wp:positionV relativeFrom="paragraph">
            <wp:posOffset>-304800</wp:posOffset>
          </wp:positionV>
          <wp:extent cx="7555865"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3058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DADE" w14:textId="77777777" w:rsidR="00807337" w:rsidRDefault="00E657F5">
    <w:pPr>
      <w:pStyle w:val="Footer"/>
    </w:pPr>
    <w:r>
      <w:rPr>
        <w:noProof/>
      </w:rPr>
      <w:drawing>
        <wp:anchor distT="0" distB="0" distL="114300" distR="114300" simplePos="0" relativeHeight="251659264" behindDoc="1" locked="0" layoutInCell="1" allowOverlap="1" wp14:anchorId="0C7D374A" wp14:editId="3ABECBE1">
          <wp:simplePos x="0" y="0"/>
          <wp:positionH relativeFrom="column">
            <wp:posOffset>-457200</wp:posOffset>
          </wp:positionH>
          <wp:positionV relativeFrom="paragraph">
            <wp:posOffset>0</wp:posOffset>
          </wp:positionV>
          <wp:extent cx="7548880" cy="634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6062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0"/>
    </w:tblGrid>
    <w:tr w:rsidR="00B933CA" w14:paraId="79F17E8B" w14:textId="77777777" w:rsidTr="00085254">
      <w:tc>
        <w:tcPr>
          <w:tcW w:w="5000" w:type="pct"/>
          <w:shd w:val="clear" w:color="auto" w:fill="auto"/>
        </w:tcPr>
        <w:p w14:paraId="69E10E61" w14:textId="77777777" w:rsidR="00807337" w:rsidRPr="008E5502" w:rsidRDefault="00E657F5"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Pr="00C95BB7">
            <w:rPr>
              <w:noProof/>
              <w:sz w:val="28"/>
              <w:szCs w:val="26"/>
            </w:rPr>
            <w:t>2</w:t>
          </w:r>
          <w:r w:rsidRPr="00C95BB7">
            <w:rPr>
              <w:sz w:val="28"/>
              <w:szCs w:val="26"/>
            </w:rPr>
            <w:fldChar w:fldCharType="end"/>
          </w:r>
        </w:p>
      </w:tc>
    </w:tr>
  </w:tbl>
  <w:p w14:paraId="40909C7F" w14:textId="77777777" w:rsidR="00807337" w:rsidRDefault="00E657F5" w:rsidP="008E5502">
    <w:pPr>
      <w:pStyle w:val="anchor"/>
    </w:pPr>
    <w:r>
      <w:rPr>
        <w:noProof/>
      </w:rPr>
      <w:drawing>
        <wp:anchor distT="0" distB="0" distL="114300" distR="114300" simplePos="0" relativeHeight="251660288" behindDoc="1" locked="0" layoutInCell="1" allowOverlap="1" wp14:anchorId="1FDA380A" wp14:editId="11A4A3EA">
          <wp:simplePos x="0" y="0"/>
          <wp:positionH relativeFrom="column">
            <wp:posOffset>-914400</wp:posOffset>
          </wp:positionH>
          <wp:positionV relativeFrom="paragraph">
            <wp:posOffset>-280035</wp:posOffset>
          </wp:positionV>
          <wp:extent cx="7555865" cy="6477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34235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0676" w14:textId="77777777" w:rsidR="00F07540" w:rsidRDefault="00E657F5">
      <w:pPr>
        <w:spacing w:after="0"/>
      </w:pPr>
      <w:r>
        <w:separator/>
      </w:r>
    </w:p>
  </w:footnote>
  <w:footnote w:type="continuationSeparator" w:id="0">
    <w:p w14:paraId="1657C6E5" w14:textId="77777777" w:rsidR="00F07540" w:rsidRDefault="00E657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9A2D" w14:textId="77777777" w:rsidR="00807337" w:rsidRDefault="00E657F5">
    <w:pPr>
      <w:pStyle w:val="Header"/>
    </w:pPr>
    <w:r>
      <w:rPr>
        <w:noProof/>
      </w:rPr>
      <w:drawing>
        <wp:anchor distT="0" distB="0" distL="114300" distR="114300" simplePos="0" relativeHeight="251661312" behindDoc="1" locked="0" layoutInCell="1" allowOverlap="1" wp14:anchorId="34D307DB" wp14:editId="1EE120E5">
          <wp:simplePos x="0" y="0"/>
          <wp:positionH relativeFrom="column">
            <wp:posOffset>-914400</wp:posOffset>
          </wp:positionH>
          <wp:positionV relativeFrom="paragraph">
            <wp:posOffset>-165735</wp:posOffset>
          </wp:positionV>
          <wp:extent cx="7555865" cy="1739900"/>
          <wp:effectExtent l="0" t="0" r="0" b="0"/>
          <wp:wrapNone/>
          <wp:docPr id="6" name="Picture 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041962"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D173" w14:textId="77777777" w:rsidR="00807337" w:rsidRDefault="00E657F5">
    <w:pPr>
      <w:pStyle w:val="Header"/>
    </w:pPr>
    <w:r>
      <w:rPr>
        <w:noProof/>
      </w:rPr>
      <w:drawing>
        <wp:anchor distT="0" distB="0" distL="114300" distR="114300" simplePos="0" relativeHeight="251658240" behindDoc="1" locked="0" layoutInCell="1" allowOverlap="1" wp14:anchorId="4E971166" wp14:editId="14834F13">
          <wp:simplePos x="0" y="0"/>
          <wp:positionH relativeFrom="column">
            <wp:posOffset>-457200</wp:posOffset>
          </wp:positionH>
          <wp:positionV relativeFrom="paragraph">
            <wp:posOffset>-445135</wp:posOffset>
          </wp:positionV>
          <wp:extent cx="7556500" cy="3479800"/>
          <wp:effectExtent l="0" t="0" r="0" b="0"/>
          <wp:wrapNone/>
          <wp:docPr id="4" name="Picture 2"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740055"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460"/>
    </w:tblGrid>
    <w:tr w:rsidR="00B933CA" w14:paraId="60AEAC2D" w14:textId="77777777" w:rsidTr="0021654A">
      <w:trPr>
        <w:jc w:val="center"/>
      </w:trPr>
      <w:tc>
        <w:tcPr>
          <w:tcW w:w="5000" w:type="pct"/>
          <w:shd w:val="clear" w:color="auto" w:fill="2C5A77"/>
          <w:vAlign w:val="center"/>
        </w:tcPr>
        <w:p w14:paraId="63236A37" w14:textId="77777777" w:rsidR="00807337" w:rsidRPr="00C74127" w:rsidRDefault="00E657F5" w:rsidP="00E50314">
          <w:pPr>
            <w:pStyle w:val="Header"/>
            <w:jc w:val="left"/>
          </w:pPr>
          <w:r>
            <w:t>Estate Road Specification</w:t>
          </w:r>
        </w:p>
      </w:tc>
    </w:tr>
  </w:tbl>
  <w:p w14:paraId="28101F47" w14:textId="77777777" w:rsidR="00807337" w:rsidRDefault="00E657F5" w:rsidP="008E5502">
    <w:pPr>
      <w:pStyle w:val="anchor"/>
    </w:pPr>
    <w:r>
      <w:rPr>
        <w:noProof/>
      </w:rPr>
      <w:drawing>
        <wp:inline distT="0" distB="0" distL="0" distR="0" wp14:anchorId="44A040D8" wp14:editId="52E46A98">
          <wp:extent cx="5723487" cy="326572"/>
          <wp:effectExtent l="0" t="0" r="0" b="0"/>
          <wp:docPr id="1" name="Picture 1" descr="Background pattern&#10;&#10;&#10;&#10;&#10;&#10;&#10;&#10;&#10;&#10;&#10;&#10;&#10;&#10;&#10;&#10;&#10;&#10;&#10;&#10;&#10;&#10;&#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503692" name="Picture 1" descr="Background pattern&#10;&#10;&#10;&#10;&#10;&#10;&#10;&#10;&#10;&#10;&#10;&#10;&#10;&#10;&#10;&#10;&#10;&#10;&#10;&#10;&#10;&#10;&#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6411" cy="3273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C3A"/>
    <w:multiLevelType w:val="hybridMultilevel"/>
    <w:tmpl w:val="22CEBBDA"/>
    <w:lvl w:ilvl="0" w:tplc="CCA8EF38">
      <w:start w:val="1"/>
      <w:numFmt w:val="bullet"/>
      <w:lvlText w:val=""/>
      <w:lvlJc w:val="left"/>
      <w:pPr>
        <w:ind w:left="1069" w:hanging="360"/>
      </w:pPr>
      <w:rPr>
        <w:rFonts w:ascii="Symbol" w:hAnsi="Symbol" w:hint="default"/>
      </w:rPr>
    </w:lvl>
    <w:lvl w:ilvl="1" w:tplc="F4142480">
      <w:start w:val="1"/>
      <w:numFmt w:val="bullet"/>
      <w:lvlText w:val=""/>
      <w:lvlJc w:val="left"/>
      <w:pPr>
        <w:ind w:left="1789" w:hanging="360"/>
      </w:pPr>
      <w:rPr>
        <w:rFonts w:ascii="Symbol" w:hAnsi="Symbol" w:hint="default"/>
      </w:rPr>
    </w:lvl>
    <w:lvl w:ilvl="2" w:tplc="AFDC3208" w:tentative="1">
      <w:start w:val="1"/>
      <w:numFmt w:val="lowerRoman"/>
      <w:lvlText w:val="%3."/>
      <w:lvlJc w:val="right"/>
      <w:pPr>
        <w:ind w:left="2509" w:hanging="180"/>
      </w:pPr>
    </w:lvl>
    <w:lvl w:ilvl="3" w:tplc="C17AF530" w:tentative="1">
      <w:start w:val="1"/>
      <w:numFmt w:val="decimal"/>
      <w:lvlText w:val="%4."/>
      <w:lvlJc w:val="left"/>
      <w:pPr>
        <w:ind w:left="3229" w:hanging="360"/>
      </w:pPr>
    </w:lvl>
    <w:lvl w:ilvl="4" w:tplc="E5126660" w:tentative="1">
      <w:start w:val="1"/>
      <w:numFmt w:val="lowerLetter"/>
      <w:lvlText w:val="%5."/>
      <w:lvlJc w:val="left"/>
      <w:pPr>
        <w:ind w:left="3949" w:hanging="360"/>
      </w:pPr>
    </w:lvl>
    <w:lvl w:ilvl="5" w:tplc="CEFC41BA" w:tentative="1">
      <w:start w:val="1"/>
      <w:numFmt w:val="lowerRoman"/>
      <w:lvlText w:val="%6."/>
      <w:lvlJc w:val="right"/>
      <w:pPr>
        <w:ind w:left="4669" w:hanging="180"/>
      </w:pPr>
    </w:lvl>
    <w:lvl w:ilvl="6" w:tplc="109EBE4E" w:tentative="1">
      <w:start w:val="1"/>
      <w:numFmt w:val="decimal"/>
      <w:lvlText w:val="%7."/>
      <w:lvlJc w:val="left"/>
      <w:pPr>
        <w:ind w:left="5389" w:hanging="360"/>
      </w:pPr>
    </w:lvl>
    <w:lvl w:ilvl="7" w:tplc="3B26B054" w:tentative="1">
      <w:start w:val="1"/>
      <w:numFmt w:val="lowerLetter"/>
      <w:lvlText w:val="%8."/>
      <w:lvlJc w:val="left"/>
      <w:pPr>
        <w:ind w:left="6109" w:hanging="360"/>
      </w:pPr>
    </w:lvl>
    <w:lvl w:ilvl="8" w:tplc="F230DAE0" w:tentative="1">
      <w:start w:val="1"/>
      <w:numFmt w:val="lowerRoman"/>
      <w:lvlText w:val="%9."/>
      <w:lvlJc w:val="right"/>
      <w:pPr>
        <w:ind w:left="6829" w:hanging="180"/>
      </w:pPr>
    </w:lvl>
  </w:abstractNum>
  <w:abstractNum w:abstractNumId="1" w15:restartNumberingAfterBreak="0">
    <w:nsid w:val="0C996BFA"/>
    <w:multiLevelType w:val="hybridMultilevel"/>
    <w:tmpl w:val="6824A3DE"/>
    <w:lvl w:ilvl="0" w:tplc="AD8A173A">
      <w:start w:val="1"/>
      <w:numFmt w:val="bullet"/>
      <w:lvlText w:val=""/>
      <w:lvlJc w:val="left"/>
      <w:pPr>
        <w:ind w:left="720" w:hanging="360"/>
      </w:pPr>
      <w:rPr>
        <w:rFonts w:ascii="Symbol" w:hAnsi="Symbol" w:hint="default"/>
      </w:rPr>
    </w:lvl>
    <w:lvl w:ilvl="1" w:tplc="4FC23A44" w:tentative="1">
      <w:start w:val="1"/>
      <w:numFmt w:val="bullet"/>
      <w:lvlText w:val="o"/>
      <w:lvlJc w:val="left"/>
      <w:pPr>
        <w:ind w:left="1440" w:hanging="360"/>
      </w:pPr>
      <w:rPr>
        <w:rFonts w:ascii="Courier New" w:hAnsi="Courier New" w:cs="Courier New" w:hint="default"/>
      </w:rPr>
    </w:lvl>
    <w:lvl w:ilvl="2" w:tplc="A4AAA2F6" w:tentative="1">
      <w:start w:val="1"/>
      <w:numFmt w:val="bullet"/>
      <w:lvlText w:val=""/>
      <w:lvlJc w:val="left"/>
      <w:pPr>
        <w:ind w:left="2160" w:hanging="360"/>
      </w:pPr>
      <w:rPr>
        <w:rFonts w:ascii="Wingdings" w:hAnsi="Wingdings" w:hint="default"/>
      </w:rPr>
    </w:lvl>
    <w:lvl w:ilvl="3" w:tplc="55DC335A" w:tentative="1">
      <w:start w:val="1"/>
      <w:numFmt w:val="bullet"/>
      <w:lvlText w:val=""/>
      <w:lvlJc w:val="left"/>
      <w:pPr>
        <w:ind w:left="2880" w:hanging="360"/>
      </w:pPr>
      <w:rPr>
        <w:rFonts w:ascii="Symbol" w:hAnsi="Symbol" w:hint="default"/>
      </w:rPr>
    </w:lvl>
    <w:lvl w:ilvl="4" w:tplc="5A1C4138" w:tentative="1">
      <w:start w:val="1"/>
      <w:numFmt w:val="bullet"/>
      <w:lvlText w:val="o"/>
      <w:lvlJc w:val="left"/>
      <w:pPr>
        <w:ind w:left="3600" w:hanging="360"/>
      </w:pPr>
      <w:rPr>
        <w:rFonts w:ascii="Courier New" w:hAnsi="Courier New" w:cs="Courier New" w:hint="default"/>
      </w:rPr>
    </w:lvl>
    <w:lvl w:ilvl="5" w:tplc="8F4A7D5C" w:tentative="1">
      <w:start w:val="1"/>
      <w:numFmt w:val="bullet"/>
      <w:lvlText w:val=""/>
      <w:lvlJc w:val="left"/>
      <w:pPr>
        <w:ind w:left="4320" w:hanging="360"/>
      </w:pPr>
      <w:rPr>
        <w:rFonts w:ascii="Wingdings" w:hAnsi="Wingdings" w:hint="default"/>
      </w:rPr>
    </w:lvl>
    <w:lvl w:ilvl="6" w:tplc="B672D808" w:tentative="1">
      <w:start w:val="1"/>
      <w:numFmt w:val="bullet"/>
      <w:lvlText w:val=""/>
      <w:lvlJc w:val="left"/>
      <w:pPr>
        <w:ind w:left="5040" w:hanging="360"/>
      </w:pPr>
      <w:rPr>
        <w:rFonts w:ascii="Symbol" w:hAnsi="Symbol" w:hint="default"/>
      </w:rPr>
    </w:lvl>
    <w:lvl w:ilvl="7" w:tplc="61764BA8" w:tentative="1">
      <w:start w:val="1"/>
      <w:numFmt w:val="bullet"/>
      <w:lvlText w:val="o"/>
      <w:lvlJc w:val="left"/>
      <w:pPr>
        <w:ind w:left="5760" w:hanging="360"/>
      </w:pPr>
      <w:rPr>
        <w:rFonts w:ascii="Courier New" w:hAnsi="Courier New" w:cs="Courier New" w:hint="default"/>
      </w:rPr>
    </w:lvl>
    <w:lvl w:ilvl="8" w:tplc="00E2199A" w:tentative="1">
      <w:start w:val="1"/>
      <w:numFmt w:val="bullet"/>
      <w:lvlText w:val=""/>
      <w:lvlJc w:val="left"/>
      <w:pPr>
        <w:ind w:left="6480" w:hanging="360"/>
      </w:pPr>
      <w:rPr>
        <w:rFonts w:ascii="Wingdings" w:hAnsi="Wingdings" w:hint="default"/>
      </w:rPr>
    </w:lvl>
  </w:abstractNum>
  <w:abstractNum w:abstractNumId="2" w15:restartNumberingAfterBreak="0">
    <w:nsid w:val="0CFC61D7"/>
    <w:multiLevelType w:val="hybridMultilevel"/>
    <w:tmpl w:val="A038F2EA"/>
    <w:lvl w:ilvl="0" w:tplc="9496BBDA">
      <w:start w:val="1"/>
      <w:numFmt w:val="bullet"/>
      <w:lvlText w:val=""/>
      <w:lvlJc w:val="left"/>
      <w:pPr>
        <w:ind w:left="720" w:hanging="360"/>
      </w:pPr>
      <w:rPr>
        <w:rFonts w:ascii="Symbol" w:hAnsi="Symbol" w:hint="default"/>
        <w:color w:val="auto"/>
      </w:rPr>
    </w:lvl>
    <w:lvl w:ilvl="1" w:tplc="3BD6E7F8" w:tentative="1">
      <w:start w:val="1"/>
      <w:numFmt w:val="bullet"/>
      <w:lvlText w:val="o"/>
      <w:lvlJc w:val="left"/>
      <w:pPr>
        <w:ind w:left="1440" w:hanging="360"/>
      </w:pPr>
      <w:rPr>
        <w:rFonts w:ascii="Courier New" w:hAnsi="Courier New" w:cs="Courier New" w:hint="default"/>
      </w:rPr>
    </w:lvl>
    <w:lvl w:ilvl="2" w:tplc="9C4C7DB2" w:tentative="1">
      <w:start w:val="1"/>
      <w:numFmt w:val="bullet"/>
      <w:lvlText w:val=""/>
      <w:lvlJc w:val="left"/>
      <w:pPr>
        <w:ind w:left="2160" w:hanging="360"/>
      </w:pPr>
      <w:rPr>
        <w:rFonts w:ascii="Wingdings" w:hAnsi="Wingdings" w:hint="default"/>
      </w:rPr>
    </w:lvl>
    <w:lvl w:ilvl="3" w:tplc="B8D2E0B0" w:tentative="1">
      <w:start w:val="1"/>
      <w:numFmt w:val="bullet"/>
      <w:lvlText w:val=""/>
      <w:lvlJc w:val="left"/>
      <w:pPr>
        <w:ind w:left="2880" w:hanging="360"/>
      </w:pPr>
      <w:rPr>
        <w:rFonts w:ascii="Symbol" w:hAnsi="Symbol" w:hint="default"/>
      </w:rPr>
    </w:lvl>
    <w:lvl w:ilvl="4" w:tplc="6C046428" w:tentative="1">
      <w:start w:val="1"/>
      <w:numFmt w:val="bullet"/>
      <w:lvlText w:val="o"/>
      <w:lvlJc w:val="left"/>
      <w:pPr>
        <w:ind w:left="3600" w:hanging="360"/>
      </w:pPr>
      <w:rPr>
        <w:rFonts w:ascii="Courier New" w:hAnsi="Courier New" w:cs="Courier New" w:hint="default"/>
      </w:rPr>
    </w:lvl>
    <w:lvl w:ilvl="5" w:tplc="E7B6B0F2" w:tentative="1">
      <w:start w:val="1"/>
      <w:numFmt w:val="bullet"/>
      <w:lvlText w:val=""/>
      <w:lvlJc w:val="left"/>
      <w:pPr>
        <w:ind w:left="4320" w:hanging="360"/>
      </w:pPr>
      <w:rPr>
        <w:rFonts w:ascii="Wingdings" w:hAnsi="Wingdings" w:hint="default"/>
      </w:rPr>
    </w:lvl>
    <w:lvl w:ilvl="6" w:tplc="C7521B2A" w:tentative="1">
      <w:start w:val="1"/>
      <w:numFmt w:val="bullet"/>
      <w:lvlText w:val=""/>
      <w:lvlJc w:val="left"/>
      <w:pPr>
        <w:ind w:left="5040" w:hanging="360"/>
      </w:pPr>
      <w:rPr>
        <w:rFonts w:ascii="Symbol" w:hAnsi="Symbol" w:hint="default"/>
      </w:rPr>
    </w:lvl>
    <w:lvl w:ilvl="7" w:tplc="7654F9C4" w:tentative="1">
      <w:start w:val="1"/>
      <w:numFmt w:val="bullet"/>
      <w:lvlText w:val="o"/>
      <w:lvlJc w:val="left"/>
      <w:pPr>
        <w:ind w:left="5760" w:hanging="360"/>
      </w:pPr>
      <w:rPr>
        <w:rFonts w:ascii="Courier New" w:hAnsi="Courier New" w:cs="Courier New" w:hint="default"/>
      </w:rPr>
    </w:lvl>
    <w:lvl w:ilvl="8" w:tplc="7D00CD10" w:tentative="1">
      <w:start w:val="1"/>
      <w:numFmt w:val="bullet"/>
      <w:lvlText w:val=""/>
      <w:lvlJc w:val="left"/>
      <w:pPr>
        <w:ind w:left="6480" w:hanging="360"/>
      </w:pPr>
      <w:rPr>
        <w:rFonts w:ascii="Wingdings" w:hAnsi="Wingdings" w:hint="default"/>
      </w:rPr>
    </w:lvl>
  </w:abstractNum>
  <w:abstractNum w:abstractNumId="3" w15:restartNumberingAfterBreak="0">
    <w:nsid w:val="17FE2E41"/>
    <w:multiLevelType w:val="hybridMultilevel"/>
    <w:tmpl w:val="80D4AB18"/>
    <w:lvl w:ilvl="0" w:tplc="84CAC6EE">
      <w:start w:val="1"/>
      <w:numFmt w:val="bullet"/>
      <w:lvlText w:val=""/>
      <w:lvlJc w:val="left"/>
      <w:pPr>
        <w:ind w:left="720" w:hanging="360"/>
      </w:pPr>
      <w:rPr>
        <w:rFonts w:ascii="Symbol" w:hAnsi="Symbol" w:hint="default"/>
      </w:rPr>
    </w:lvl>
    <w:lvl w:ilvl="1" w:tplc="423096F2" w:tentative="1">
      <w:start w:val="1"/>
      <w:numFmt w:val="bullet"/>
      <w:lvlText w:val="o"/>
      <w:lvlJc w:val="left"/>
      <w:pPr>
        <w:ind w:left="1440" w:hanging="360"/>
      </w:pPr>
      <w:rPr>
        <w:rFonts w:ascii="Courier New" w:hAnsi="Courier New" w:cs="Courier New" w:hint="default"/>
      </w:rPr>
    </w:lvl>
    <w:lvl w:ilvl="2" w:tplc="49022582" w:tentative="1">
      <w:start w:val="1"/>
      <w:numFmt w:val="bullet"/>
      <w:lvlText w:val=""/>
      <w:lvlJc w:val="left"/>
      <w:pPr>
        <w:ind w:left="2160" w:hanging="360"/>
      </w:pPr>
      <w:rPr>
        <w:rFonts w:ascii="Wingdings" w:hAnsi="Wingdings" w:hint="default"/>
      </w:rPr>
    </w:lvl>
    <w:lvl w:ilvl="3" w:tplc="563EEFA0" w:tentative="1">
      <w:start w:val="1"/>
      <w:numFmt w:val="bullet"/>
      <w:lvlText w:val=""/>
      <w:lvlJc w:val="left"/>
      <w:pPr>
        <w:ind w:left="2880" w:hanging="360"/>
      </w:pPr>
      <w:rPr>
        <w:rFonts w:ascii="Symbol" w:hAnsi="Symbol" w:hint="default"/>
      </w:rPr>
    </w:lvl>
    <w:lvl w:ilvl="4" w:tplc="5B30D1F0" w:tentative="1">
      <w:start w:val="1"/>
      <w:numFmt w:val="bullet"/>
      <w:lvlText w:val="o"/>
      <w:lvlJc w:val="left"/>
      <w:pPr>
        <w:ind w:left="3600" w:hanging="360"/>
      </w:pPr>
      <w:rPr>
        <w:rFonts w:ascii="Courier New" w:hAnsi="Courier New" w:cs="Courier New" w:hint="default"/>
      </w:rPr>
    </w:lvl>
    <w:lvl w:ilvl="5" w:tplc="766EBFB0" w:tentative="1">
      <w:start w:val="1"/>
      <w:numFmt w:val="bullet"/>
      <w:lvlText w:val=""/>
      <w:lvlJc w:val="left"/>
      <w:pPr>
        <w:ind w:left="4320" w:hanging="360"/>
      </w:pPr>
      <w:rPr>
        <w:rFonts w:ascii="Wingdings" w:hAnsi="Wingdings" w:hint="default"/>
      </w:rPr>
    </w:lvl>
    <w:lvl w:ilvl="6" w:tplc="5B0EAA2A" w:tentative="1">
      <w:start w:val="1"/>
      <w:numFmt w:val="bullet"/>
      <w:lvlText w:val=""/>
      <w:lvlJc w:val="left"/>
      <w:pPr>
        <w:ind w:left="5040" w:hanging="360"/>
      </w:pPr>
      <w:rPr>
        <w:rFonts w:ascii="Symbol" w:hAnsi="Symbol" w:hint="default"/>
      </w:rPr>
    </w:lvl>
    <w:lvl w:ilvl="7" w:tplc="B1F0B942" w:tentative="1">
      <w:start w:val="1"/>
      <w:numFmt w:val="bullet"/>
      <w:lvlText w:val="o"/>
      <w:lvlJc w:val="left"/>
      <w:pPr>
        <w:ind w:left="5760" w:hanging="360"/>
      </w:pPr>
      <w:rPr>
        <w:rFonts w:ascii="Courier New" w:hAnsi="Courier New" w:cs="Courier New" w:hint="default"/>
      </w:rPr>
    </w:lvl>
    <w:lvl w:ilvl="8" w:tplc="A2342574" w:tentative="1">
      <w:start w:val="1"/>
      <w:numFmt w:val="bullet"/>
      <w:lvlText w:val=""/>
      <w:lvlJc w:val="left"/>
      <w:pPr>
        <w:ind w:left="6480" w:hanging="360"/>
      </w:pPr>
      <w:rPr>
        <w:rFonts w:ascii="Wingdings" w:hAnsi="Wingdings" w:hint="default"/>
      </w:rPr>
    </w:lvl>
  </w:abstractNum>
  <w:abstractNum w:abstractNumId="4" w15:restartNumberingAfterBreak="0">
    <w:nsid w:val="2567181E"/>
    <w:multiLevelType w:val="hybridMultilevel"/>
    <w:tmpl w:val="0716592C"/>
    <w:lvl w:ilvl="0" w:tplc="3E489C14">
      <w:start w:val="1"/>
      <w:numFmt w:val="bullet"/>
      <w:pStyle w:val="Bullet"/>
      <w:lvlText w:val=""/>
      <w:lvlJc w:val="left"/>
      <w:pPr>
        <w:ind w:left="709" w:hanging="142"/>
      </w:pPr>
      <w:rPr>
        <w:rFonts w:ascii="Symbol" w:hAnsi="Symbol" w:hint="default"/>
      </w:rPr>
    </w:lvl>
    <w:lvl w:ilvl="1" w:tplc="273445D6">
      <w:start w:val="1"/>
      <w:numFmt w:val="lowerLetter"/>
      <w:pStyle w:val="Bullet-indent"/>
      <w:lvlText w:val="%2."/>
      <w:lvlJc w:val="left"/>
      <w:pPr>
        <w:ind w:left="1647" w:hanging="360"/>
      </w:pPr>
    </w:lvl>
    <w:lvl w:ilvl="2" w:tplc="A45A9902" w:tentative="1">
      <w:start w:val="1"/>
      <w:numFmt w:val="lowerRoman"/>
      <w:lvlText w:val="%3."/>
      <w:lvlJc w:val="right"/>
      <w:pPr>
        <w:ind w:left="2367" w:hanging="180"/>
      </w:pPr>
    </w:lvl>
    <w:lvl w:ilvl="3" w:tplc="82BE3A5E" w:tentative="1">
      <w:start w:val="1"/>
      <w:numFmt w:val="decimal"/>
      <w:lvlText w:val="%4."/>
      <w:lvlJc w:val="left"/>
      <w:pPr>
        <w:ind w:left="3087" w:hanging="360"/>
      </w:pPr>
    </w:lvl>
    <w:lvl w:ilvl="4" w:tplc="91364E6C" w:tentative="1">
      <w:start w:val="1"/>
      <w:numFmt w:val="lowerLetter"/>
      <w:lvlText w:val="%5."/>
      <w:lvlJc w:val="left"/>
      <w:pPr>
        <w:ind w:left="3807" w:hanging="360"/>
      </w:pPr>
    </w:lvl>
    <w:lvl w:ilvl="5" w:tplc="0340189E" w:tentative="1">
      <w:start w:val="1"/>
      <w:numFmt w:val="lowerRoman"/>
      <w:lvlText w:val="%6."/>
      <w:lvlJc w:val="right"/>
      <w:pPr>
        <w:ind w:left="4527" w:hanging="180"/>
      </w:pPr>
    </w:lvl>
    <w:lvl w:ilvl="6" w:tplc="B09CD1E4" w:tentative="1">
      <w:start w:val="1"/>
      <w:numFmt w:val="decimal"/>
      <w:lvlText w:val="%7."/>
      <w:lvlJc w:val="left"/>
      <w:pPr>
        <w:ind w:left="5247" w:hanging="360"/>
      </w:pPr>
    </w:lvl>
    <w:lvl w:ilvl="7" w:tplc="D09EC354" w:tentative="1">
      <w:start w:val="1"/>
      <w:numFmt w:val="lowerLetter"/>
      <w:lvlText w:val="%8."/>
      <w:lvlJc w:val="left"/>
      <w:pPr>
        <w:ind w:left="5967" w:hanging="360"/>
      </w:pPr>
    </w:lvl>
    <w:lvl w:ilvl="8" w:tplc="EFBEEFD6" w:tentative="1">
      <w:start w:val="1"/>
      <w:numFmt w:val="lowerRoman"/>
      <w:lvlText w:val="%9."/>
      <w:lvlJc w:val="right"/>
      <w:pPr>
        <w:ind w:left="6687" w:hanging="180"/>
      </w:pPr>
    </w:lvl>
  </w:abstractNum>
  <w:abstractNum w:abstractNumId="5" w15:restartNumberingAfterBreak="0">
    <w:nsid w:val="2D183BE6"/>
    <w:multiLevelType w:val="multilevel"/>
    <w:tmpl w:val="C1C08C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i/>
        <w:iCs w:val="0"/>
        <w:sz w:val="28"/>
        <w:szCs w:val="28"/>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2DE378D"/>
    <w:multiLevelType w:val="hybridMultilevel"/>
    <w:tmpl w:val="62106B1A"/>
    <w:lvl w:ilvl="0" w:tplc="B7666780">
      <w:start w:val="1"/>
      <w:numFmt w:val="bullet"/>
      <w:lvlText w:val=""/>
      <w:lvlJc w:val="left"/>
      <w:pPr>
        <w:ind w:left="363" w:hanging="360"/>
      </w:pPr>
      <w:rPr>
        <w:rFonts w:ascii="Symbol" w:hAnsi="Symbol" w:hint="default"/>
      </w:rPr>
    </w:lvl>
    <w:lvl w:ilvl="1" w:tplc="FA88E586">
      <w:start w:val="1"/>
      <w:numFmt w:val="bullet"/>
      <w:lvlText w:val="o"/>
      <w:lvlJc w:val="left"/>
      <w:pPr>
        <w:ind w:left="1083" w:hanging="360"/>
      </w:pPr>
      <w:rPr>
        <w:rFonts w:ascii="Courier New" w:hAnsi="Courier New" w:cs="Courier New" w:hint="default"/>
      </w:rPr>
    </w:lvl>
    <w:lvl w:ilvl="2" w:tplc="D07475A0" w:tentative="1">
      <w:start w:val="1"/>
      <w:numFmt w:val="bullet"/>
      <w:lvlText w:val=""/>
      <w:lvlJc w:val="left"/>
      <w:pPr>
        <w:ind w:left="1803" w:hanging="360"/>
      </w:pPr>
      <w:rPr>
        <w:rFonts w:ascii="Wingdings" w:hAnsi="Wingdings" w:hint="default"/>
      </w:rPr>
    </w:lvl>
    <w:lvl w:ilvl="3" w:tplc="ED74FFD2" w:tentative="1">
      <w:start w:val="1"/>
      <w:numFmt w:val="bullet"/>
      <w:lvlText w:val=""/>
      <w:lvlJc w:val="left"/>
      <w:pPr>
        <w:ind w:left="2523" w:hanging="360"/>
      </w:pPr>
      <w:rPr>
        <w:rFonts w:ascii="Symbol" w:hAnsi="Symbol" w:hint="default"/>
      </w:rPr>
    </w:lvl>
    <w:lvl w:ilvl="4" w:tplc="C62ADCB2" w:tentative="1">
      <w:start w:val="1"/>
      <w:numFmt w:val="bullet"/>
      <w:lvlText w:val="o"/>
      <w:lvlJc w:val="left"/>
      <w:pPr>
        <w:ind w:left="3243" w:hanging="360"/>
      </w:pPr>
      <w:rPr>
        <w:rFonts w:ascii="Courier New" w:hAnsi="Courier New" w:cs="Courier New" w:hint="default"/>
      </w:rPr>
    </w:lvl>
    <w:lvl w:ilvl="5" w:tplc="514C499C" w:tentative="1">
      <w:start w:val="1"/>
      <w:numFmt w:val="bullet"/>
      <w:lvlText w:val=""/>
      <w:lvlJc w:val="left"/>
      <w:pPr>
        <w:ind w:left="3963" w:hanging="360"/>
      </w:pPr>
      <w:rPr>
        <w:rFonts w:ascii="Wingdings" w:hAnsi="Wingdings" w:hint="default"/>
      </w:rPr>
    </w:lvl>
    <w:lvl w:ilvl="6" w:tplc="3314DA56" w:tentative="1">
      <w:start w:val="1"/>
      <w:numFmt w:val="bullet"/>
      <w:lvlText w:val=""/>
      <w:lvlJc w:val="left"/>
      <w:pPr>
        <w:ind w:left="4683" w:hanging="360"/>
      </w:pPr>
      <w:rPr>
        <w:rFonts w:ascii="Symbol" w:hAnsi="Symbol" w:hint="default"/>
      </w:rPr>
    </w:lvl>
    <w:lvl w:ilvl="7" w:tplc="91E44FBC" w:tentative="1">
      <w:start w:val="1"/>
      <w:numFmt w:val="bullet"/>
      <w:lvlText w:val="o"/>
      <w:lvlJc w:val="left"/>
      <w:pPr>
        <w:ind w:left="5403" w:hanging="360"/>
      </w:pPr>
      <w:rPr>
        <w:rFonts w:ascii="Courier New" w:hAnsi="Courier New" w:cs="Courier New" w:hint="default"/>
      </w:rPr>
    </w:lvl>
    <w:lvl w:ilvl="8" w:tplc="5074DFEA" w:tentative="1">
      <w:start w:val="1"/>
      <w:numFmt w:val="bullet"/>
      <w:lvlText w:val=""/>
      <w:lvlJc w:val="left"/>
      <w:pPr>
        <w:ind w:left="6123" w:hanging="360"/>
      </w:pPr>
      <w:rPr>
        <w:rFonts w:ascii="Wingdings" w:hAnsi="Wingdings" w:hint="default"/>
      </w:rPr>
    </w:lvl>
  </w:abstractNum>
  <w:abstractNum w:abstractNumId="7" w15:restartNumberingAfterBreak="0">
    <w:nsid w:val="3FA851E2"/>
    <w:multiLevelType w:val="hybridMultilevel"/>
    <w:tmpl w:val="18D2B962"/>
    <w:lvl w:ilvl="0" w:tplc="9A14876A">
      <w:start w:val="1"/>
      <w:numFmt w:val="bullet"/>
      <w:lvlText w:val=""/>
      <w:lvlJc w:val="left"/>
      <w:pPr>
        <w:ind w:left="720" w:hanging="360"/>
      </w:pPr>
      <w:rPr>
        <w:rFonts w:ascii="Symbol" w:hAnsi="Symbol" w:hint="default"/>
      </w:rPr>
    </w:lvl>
    <w:lvl w:ilvl="1" w:tplc="74509D0C" w:tentative="1">
      <w:start w:val="1"/>
      <w:numFmt w:val="bullet"/>
      <w:lvlText w:val="o"/>
      <w:lvlJc w:val="left"/>
      <w:pPr>
        <w:ind w:left="1440" w:hanging="360"/>
      </w:pPr>
      <w:rPr>
        <w:rFonts w:ascii="Courier New" w:hAnsi="Courier New" w:cs="Courier New" w:hint="default"/>
      </w:rPr>
    </w:lvl>
    <w:lvl w:ilvl="2" w:tplc="3C1C6D12" w:tentative="1">
      <w:start w:val="1"/>
      <w:numFmt w:val="bullet"/>
      <w:lvlText w:val=""/>
      <w:lvlJc w:val="left"/>
      <w:pPr>
        <w:ind w:left="2160" w:hanging="360"/>
      </w:pPr>
      <w:rPr>
        <w:rFonts w:ascii="Wingdings" w:hAnsi="Wingdings" w:hint="default"/>
      </w:rPr>
    </w:lvl>
    <w:lvl w:ilvl="3" w:tplc="A330E172" w:tentative="1">
      <w:start w:val="1"/>
      <w:numFmt w:val="bullet"/>
      <w:lvlText w:val=""/>
      <w:lvlJc w:val="left"/>
      <w:pPr>
        <w:ind w:left="2880" w:hanging="360"/>
      </w:pPr>
      <w:rPr>
        <w:rFonts w:ascii="Symbol" w:hAnsi="Symbol" w:hint="default"/>
      </w:rPr>
    </w:lvl>
    <w:lvl w:ilvl="4" w:tplc="6CEC0406" w:tentative="1">
      <w:start w:val="1"/>
      <w:numFmt w:val="bullet"/>
      <w:lvlText w:val="o"/>
      <w:lvlJc w:val="left"/>
      <w:pPr>
        <w:ind w:left="3600" w:hanging="360"/>
      </w:pPr>
      <w:rPr>
        <w:rFonts w:ascii="Courier New" w:hAnsi="Courier New" w:cs="Courier New" w:hint="default"/>
      </w:rPr>
    </w:lvl>
    <w:lvl w:ilvl="5" w:tplc="A8FC4756" w:tentative="1">
      <w:start w:val="1"/>
      <w:numFmt w:val="bullet"/>
      <w:lvlText w:val=""/>
      <w:lvlJc w:val="left"/>
      <w:pPr>
        <w:ind w:left="4320" w:hanging="360"/>
      </w:pPr>
      <w:rPr>
        <w:rFonts w:ascii="Wingdings" w:hAnsi="Wingdings" w:hint="default"/>
      </w:rPr>
    </w:lvl>
    <w:lvl w:ilvl="6" w:tplc="104EBD00" w:tentative="1">
      <w:start w:val="1"/>
      <w:numFmt w:val="bullet"/>
      <w:lvlText w:val=""/>
      <w:lvlJc w:val="left"/>
      <w:pPr>
        <w:ind w:left="5040" w:hanging="360"/>
      </w:pPr>
      <w:rPr>
        <w:rFonts w:ascii="Symbol" w:hAnsi="Symbol" w:hint="default"/>
      </w:rPr>
    </w:lvl>
    <w:lvl w:ilvl="7" w:tplc="1BACF4F2" w:tentative="1">
      <w:start w:val="1"/>
      <w:numFmt w:val="bullet"/>
      <w:lvlText w:val="o"/>
      <w:lvlJc w:val="left"/>
      <w:pPr>
        <w:ind w:left="5760" w:hanging="360"/>
      </w:pPr>
      <w:rPr>
        <w:rFonts w:ascii="Courier New" w:hAnsi="Courier New" w:cs="Courier New" w:hint="default"/>
      </w:rPr>
    </w:lvl>
    <w:lvl w:ilvl="8" w:tplc="8108868A" w:tentative="1">
      <w:start w:val="1"/>
      <w:numFmt w:val="bullet"/>
      <w:lvlText w:val=""/>
      <w:lvlJc w:val="left"/>
      <w:pPr>
        <w:ind w:left="6480" w:hanging="360"/>
      </w:pPr>
      <w:rPr>
        <w:rFonts w:ascii="Wingdings" w:hAnsi="Wingdings" w:hint="default"/>
      </w:rPr>
    </w:lvl>
  </w:abstractNum>
  <w:abstractNum w:abstractNumId="8" w15:restartNumberingAfterBreak="0">
    <w:nsid w:val="420860A3"/>
    <w:multiLevelType w:val="hybridMultilevel"/>
    <w:tmpl w:val="2DF6A548"/>
    <w:lvl w:ilvl="0" w:tplc="3CA4A906">
      <w:start w:val="1"/>
      <w:numFmt w:val="decimal"/>
      <w:pStyle w:val="Heading2-numbered"/>
      <w:lvlText w:val="%1."/>
      <w:lvlJc w:val="left"/>
      <w:pPr>
        <w:ind w:left="360" w:hanging="360"/>
      </w:pPr>
    </w:lvl>
    <w:lvl w:ilvl="1" w:tplc="F24C1404">
      <w:start w:val="1"/>
      <w:numFmt w:val="lowerLetter"/>
      <w:lvlText w:val="%2."/>
      <w:lvlJc w:val="left"/>
      <w:pPr>
        <w:ind w:left="1080" w:hanging="360"/>
      </w:pPr>
    </w:lvl>
    <w:lvl w:ilvl="2" w:tplc="42FE7EA6" w:tentative="1">
      <w:start w:val="1"/>
      <w:numFmt w:val="lowerRoman"/>
      <w:lvlText w:val="%3."/>
      <w:lvlJc w:val="right"/>
      <w:pPr>
        <w:ind w:left="1800" w:hanging="180"/>
      </w:pPr>
    </w:lvl>
    <w:lvl w:ilvl="3" w:tplc="26B2E33C" w:tentative="1">
      <w:start w:val="1"/>
      <w:numFmt w:val="decimal"/>
      <w:lvlText w:val="%4."/>
      <w:lvlJc w:val="left"/>
      <w:pPr>
        <w:ind w:left="2520" w:hanging="360"/>
      </w:pPr>
    </w:lvl>
    <w:lvl w:ilvl="4" w:tplc="303AA864" w:tentative="1">
      <w:start w:val="1"/>
      <w:numFmt w:val="lowerLetter"/>
      <w:lvlText w:val="%5."/>
      <w:lvlJc w:val="left"/>
      <w:pPr>
        <w:ind w:left="3240" w:hanging="360"/>
      </w:pPr>
    </w:lvl>
    <w:lvl w:ilvl="5" w:tplc="A9AA47BE" w:tentative="1">
      <w:start w:val="1"/>
      <w:numFmt w:val="lowerRoman"/>
      <w:lvlText w:val="%6."/>
      <w:lvlJc w:val="right"/>
      <w:pPr>
        <w:ind w:left="3960" w:hanging="180"/>
      </w:pPr>
    </w:lvl>
    <w:lvl w:ilvl="6" w:tplc="96A6F92E" w:tentative="1">
      <w:start w:val="1"/>
      <w:numFmt w:val="decimal"/>
      <w:lvlText w:val="%7."/>
      <w:lvlJc w:val="left"/>
      <w:pPr>
        <w:ind w:left="4680" w:hanging="360"/>
      </w:pPr>
    </w:lvl>
    <w:lvl w:ilvl="7" w:tplc="E51C1284" w:tentative="1">
      <w:start w:val="1"/>
      <w:numFmt w:val="lowerLetter"/>
      <w:lvlText w:val="%8."/>
      <w:lvlJc w:val="left"/>
      <w:pPr>
        <w:ind w:left="5400" w:hanging="360"/>
      </w:pPr>
    </w:lvl>
    <w:lvl w:ilvl="8" w:tplc="B5A2806C" w:tentative="1">
      <w:start w:val="1"/>
      <w:numFmt w:val="lowerRoman"/>
      <w:lvlText w:val="%9."/>
      <w:lvlJc w:val="right"/>
      <w:pPr>
        <w:ind w:left="6120" w:hanging="180"/>
      </w:pPr>
    </w:lvl>
  </w:abstractNum>
  <w:abstractNum w:abstractNumId="9" w15:restartNumberingAfterBreak="0">
    <w:nsid w:val="42A45BCA"/>
    <w:multiLevelType w:val="hybridMultilevel"/>
    <w:tmpl w:val="481E0416"/>
    <w:lvl w:ilvl="0" w:tplc="B07C3048">
      <w:start w:val="1"/>
      <w:numFmt w:val="bullet"/>
      <w:lvlText w:val=""/>
      <w:lvlJc w:val="left"/>
      <w:pPr>
        <w:ind w:left="720" w:hanging="360"/>
      </w:pPr>
      <w:rPr>
        <w:rFonts w:ascii="Symbol" w:hAnsi="Symbol" w:hint="default"/>
      </w:rPr>
    </w:lvl>
    <w:lvl w:ilvl="1" w:tplc="A1387DBC" w:tentative="1">
      <w:start w:val="1"/>
      <w:numFmt w:val="bullet"/>
      <w:lvlText w:val="o"/>
      <w:lvlJc w:val="left"/>
      <w:pPr>
        <w:ind w:left="1440" w:hanging="360"/>
      </w:pPr>
      <w:rPr>
        <w:rFonts w:ascii="Courier New" w:hAnsi="Courier New" w:cs="Courier New" w:hint="default"/>
      </w:rPr>
    </w:lvl>
    <w:lvl w:ilvl="2" w:tplc="21A2C414" w:tentative="1">
      <w:start w:val="1"/>
      <w:numFmt w:val="bullet"/>
      <w:lvlText w:val=""/>
      <w:lvlJc w:val="left"/>
      <w:pPr>
        <w:ind w:left="2160" w:hanging="360"/>
      </w:pPr>
      <w:rPr>
        <w:rFonts w:ascii="Wingdings" w:hAnsi="Wingdings" w:hint="default"/>
      </w:rPr>
    </w:lvl>
    <w:lvl w:ilvl="3" w:tplc="A58216A8" w:tentative="1">
      <w:start w:val="1"/>
      <w:numFmt w:val="bullet"/>
      <w:lvlText w:val=""/>
      <w:lvlJc w:val="left"/>
      <w:pPr>
        <w:ind w:left="2880" w:hanging="360"/>
      </w:pPr>
      <w:rPr>
        <w:rFonts w:ascii="Symbol" w:hAnsi="Symbol" w:hint="default"/>
      </w:rPr>
    </w:lvl>
    <w:lvl w:ilvl="4" w:tplc="808284B2" w:tentative="1">
      <w:start w:val="1"/>
      <w:numFmt w:val="bullet"/>
      <w:lvlText w:val="o"/>
      <w:lvlJc w:val="left"/>
      <w:pPr>
        <w:ind w:left="3600" w:hanging="360"/>
      </w:pPr>
      <w:rPr>
        <w:rFonts w:ascii="Courier New" w:hAnsi="Courier New" w:cs="Courier New" w:hint="default"/>
      </w:rPr>
    </w:lvl>
    <w:lvl w:ilvl="5" w:tplc="24A66514" w:tentative="1">
      <w:start w:val="1"/>
      <w:numFmt w:val="bullet"/>
      <w:lvlText w:val=""/>
      <w:lvlJc w:val="left"/>
      <w:pPr>
        <w:ind w:left="4320" w:hanging="360"/>
      </w:pPr>
      <w:rPr>
        <w:rFonts w:ascii="Wingdings" w:hAnsi="Wingdings" w:hint="default"/>
      </w:rPr>
    </w:lvl>
    <w:lvl w:ilvl="6" w:tplc="0A7A3968" w:tentative="1">
      <w:start w:val="1"/>
      <w:numFmt w:val="bullet"/>
      <w:lvlText w:val=""/>
      <w:lvlJc w:val="left"/>
      <w:pPr>
        <w:ind w:left="5040" w:hanging="360"/>
      </w:pPr>
      <w:rPr>
        <w:rFonts w:ascii="Symbol" w:hAnsi="Symbol" w:hint="default"/>
      </w:rPr>
    </w:lvl>
    <w:lvl w:ilvl="7" w:tplc="C40A2C68" w:tentative="1">
      <w:start w:val="1"/>
      <w:numFmt w:val="bullet"/>
      <w:lvlText w:val="o"/>
      <w:lvlJc w:val="left"/>
      <w:pPr>
        <w:ind w:left="5760" w:hanging="360"/>
      </w:pPr>
      <w:rPr>
        <w:rFonts w:ascii="Courier New" w:hAnsi="Courier New" w:cs="Courier New" w:hint="default"/>
      </w:rPr>
    </w:lvl>
    <w:lvl w:ilvl="8" w:tplc="F48C3218" w:tentative="1">
      <w:start w:val="1"/>
      <w:numFmt w:val="bullet"/>
      <w:lvlText w:val=""/>
      <w:lvlJc w:val="left"/>
      <w:pPr>
        <w:ind w:left="6480" w:hanging="360"/>
      </w:pPr>
      <w:rPr>
        <w:rFonts w:ascii="Wingdings" w:hAnsi="Wingdings" w:hint="default"/>
      </w:rPr>
    </w:lvl>
  </w:abstractNum>
  <w:abstractNum w:abstractNumId="10" w15:restartNumberingAfterBreak="0">
    <w:nsid w:val="42E93650"/>
    <w:multiLevelType w:val="hybridMultilevel"/>
    <w:tmpl w:val="9A44C8DA"/>
    <w:lvl w:ilvl="0" w:tplc="63DA01DA">
      <w:start w:val="1"/>
      <w:numFmt w:val="lowerRoman"/>
      <w:lvlText w:val="(%1)"/>
      <w:lvlJc w:val="left"/>
      <w:pPr>
        <w:ind w:left="1069" w:hanging="360"/>
      </w:pPr>
      <w:rPr>
        <w:rFonts w:hint="default"/>
      </w:rPr>
    </w:lvl>
    <w:lvl w:ilvl="1" w:tplc="54CEB892">
      <w:start w:val="1"/>
      <w:numFmt w:val="bullet"/>
      <w:lvlText w:val=""/>
      <w:lvlJc w:val="left"/>
      <w:pPr>
        <w:ind w:left="1789" w:hanging="360"/>
      </w:pPr>
      <w:rPr>
        <w:rFonts w:ascii="Symbol" w:hAnsi="Symbol" w:hint="default"/>
      </w:rPr>
    </w:lvl>
    <w:lvl w:ilvl="2" w:tplc="538A2F3A" w:tentative="1">
      <w:start w:val="1"/>
      <w:numFmt w:val="lowerRoman"/>
      <w:lvlText w:val="%3."/>
      <w:lvlJc w:val="right"/>
      <w:pPr>
        <w:ind w:left="2509" w:hanging="180"/>
      </w:pPr>
    </w:lvl>
    <w:lvl w:ilvl="3" w:tplc="4E8E1AF8" w:tentative="1">
      <w:start w:val="1"/>
      <w:numFmt w:val="decimal"/>
      <w:lvlText w:val="%4."/>
      <w:lvlJc w:val="left"/>
      <w:pPr>
        <w:ind w:left="3229" w:hanging="360"/>
      </w:pPr>
    </w:lvl>
    <w:lvl w:ilvl="4" w:tplc="FB267D56" w:tentative="1">
      <w:start w:val="1"/>
      <w:numFmt w:val="lowerLetter"/>
      <w:lvlText w:val="%5."/>
      <w:lvlJc w:val="left"/>
      <w:pPr>
        <w:ind w:left="3949" w:hanging="360"/>
      </w:pPr>
    </w:lvl>
    <w:lvl w:ilvl="5" w:tplc="ED10066E" w:tentative="1">
      <w:start w:val="1"/>
      <w:numFmt w:val="lowerRoman"/>
      <w:lvlText w:val="%6."/>
      <w:lvlJc w:val="right"/>
      <w:pPr>
        <w:ind w:left="4669" w:hanging="180"/>
      </w:pPr>
    </w:lvl>
    <w:lvl w:ilvl="6" w:tplc="EE1AFBFA" w:tentative="1">
      <w:start w:val="1"/>
      <w:numFmt w:val="decimal"/>
      <w:lvlText w:val="%7."/>
      <w:lvlJc w:val="left"/>
      <w:pPr>
        <w:ind w:left="5389" w:hanging="360"/>
      </w:pPr>
    </w:lvl>
    <w:lvl w:ilvl="7" w:tplc="570C0308" w:tentative="1">
      <w:start w:val="1"/>
      <w:numFmt w:val="lowerLetter"/>
      <w:lvlText w:val="%8."/>
      <w:lvlJc w:val="left"/>
      <w:pPr>
        <w:ind w:left="6109" w:hanging="360"/>
      </w:pPr>
    </w:lvl>
    <w:lvl w:ilvl="8" w:tplc="C4708BA6" w:tentative="1">
      <w:start w:val="1"/>
      <w:numFmt w:val="lowerRoman"/>
      <w:lvlText w:val="%9."/>
      <w:lvlJc w:val="right"/>
      <w:pPr>
        <w:ind w:left="6829" w:hanging="180"/>
      </w:pPr>
    </w:lvl>
  </w:abstractNum>
  <w:abstractNum w:abstractNumId="11" w15:restartNumberingAfterBreak="0">
    <w:nsid w:val="49AE5B0F"/>
    <w:multiLevelType w:val="hybridMultilevel"/>
    <w:tmpl w:val="261EA3D0"/>
    <w:lvl w:ilvl="0" w:tplc="E7B49EF4">
      <w:start w:val="1"/>
      <w:numFmt w:val="bullet"/>
      <w:lvlText w:val=""/>
      <w:lvlJc w:val="left"/>
      <w:pPr>
        <w:ind w:left="720" w:hanging="360"/>
      </w:pPr>
      <w:rPr>
        <w:rFonts w:ascii="Symbol" w:hAnsi="Symbol" w:hint="default"/>
      </w:rPr>
    </w:lvl>
    <w:lvl w:ilvl="1" w:tplc="A54246AA" w:tentative="1">
      <w:start w:val="1"/>
      <w:numFmt w:val="bullet"/>
      <w:lvlText w:val="o"/>
      <w:lvlJc w:val="left"/>
      <w:pPr>
        <w:ind w:left="1440" w:hanging="360"/>
      </w:pPr>
      <w:rPr>
        <w:rFonts w:ascii="Courier New" w:hAnsi="Courier New" w:cs="Courier New" w:hint="default"/>
      </w:rPr>
    </w:lvl>
    <w:lvl w:ilvl="2" w:tplc="6FD6F900" w:tentative="1">
      <w:start w:val="1"/>
      <w:numFmt w:val="bullet"/>
      <w:lvlText w:val=""/>
      <w:lvlJc w:val="left"/>
      <w:pPr>
        <w:ind w:left="2160" w:hanging="360"/>
      </w:pPr>
      <w:rPr>
        <w:rFonts w:ascii="Wingdings" w:hAnsi="Wingdings" w:hint="default"/>
      </w:rPr>
    </w:lvl>
    <w:lvl w:ilvl="3" w:tplc="14A6A0D2" w:tentative="1">
      <w:start w:val="1"/>
      <w:numFmt w:val="bullet"/>
      <w:lvlText w:val=""/>
      <w:lvlJc w:val="left"/>
      <w:pPr>
        <w:ind w:left="2880" w:hanging="360"/>
      </w:pPr>
      <w:rPr>
        <w:rFonts w:ascii="Symbol" w:hAnsi="Symbol" w:hint="default"/>
      </w:rPr>
    </w:lvl>
    <w:lvl w:ilvl="4" w:tplc="349A7474" w:tentative="1">
      <w:start w:val="1"/>
      <w:numFmt w:val="bullet"/>
      <w:lvlText w:val="o"/>
      <w:lvlJc w:val="left"/>
      <w:pPr>
        <w:ind w:left="3600" w:hanging="360"/>
      </w:pPr>
      <w:rPr>
        <w:rFonts w:ascii="Courier New" w:hAnsi="Courier New" w:cs="Courier New" w:hint="default"/>
      </w:rPr>
    </w:lvl>
    <w:lvl w:ilvl="5" w:tplc="DF52C83A" w:tentative="1">
      <w:start w:val="1"/>
      <w:numFmt w:val="bullet"/>
      <w:lvlText w:val=""/>
      <w:lvlJc w:val="left"/>
      <w:pPr>
        <w:ind w:left="4320" w:hanging="360"/>
      </w:pPr>
      <w:rPr>
        <w:rFonts w:ascii="Wingdings" w:hAnsi="Wingdings" w:hint="default"/>
      </w:rPr>
    </w:lvl>
    <w:lvl w:ilvl="6" w:tplc="1248D38A" w:tentative="1">
      <w:start w:val="1"/>
      <w:numFmt w:val="bullet"/>
      <w:lvlText w:val=""/>
      <w:lvlJc w:val="left"/>
      <w:pPr>
        <w:ind w:left="5040" w:hanging="360"/>
      </w:pPr>
      <w:rPr>
        <w:rFonts w:ascii="Symbol" w:hAnsi="Symbol" w:hint="default"/>
      </w:rPr>
    </w:lvl>
    <w:lvl w:ilvl="7" w:tplc="EFCCF2A0" w:tentative="1">
      <w:start w:val="1"/>
      <w:numFmt w:val="bullet"/>
      <w:lvlText w:val="o"/>
      <w:lvlJc w:val="left"/>
      <w:pPr>
        <w:ind w:left="5760" w:hanging="360"/>
      </w:pPr>
      <w:rPr>
        <w:rFonts w:ascii="Courier New" w:hAnsi="Courier New" w:cs="Courier New" w:hint="default"/>
      </w:rPr>
    </w:lvl>
    <w:lvl w:ilvl="8" w:tplc="8472ADBC" w:tentative="1">
      <w:start w:val="1"/>
      <w:numFmt w:val="bullet"/>
      <w:lvlText w:val=""/>
      <w:lvlJc w:val="left"/>
      <w:pPr>
        <w:ind w:left="6480" w:hanging="360"/>
      </w:pPr>
      <w:rPr>
        <w:rFonts w:ascii="Wingdings" w:hAnsi="Wingdings" w:hint="default"/>
      </w:rPr>
    </w:lvl>
  </w:abstractNum>
  <w:abstractNum w:abstractNumId="12" w15:restartNumberingAfterBreak="0">
    <w:nsid w:val="4A28169B"/>
    <w:multiLevelType w:val="hybridMultilevel"/>
    <w:tmpl w:val="00CC0D52"/>
    <w:lvl w:ilvl="0" w:tplc="AB4AA8AC">
      <w:start w:val="1"/>
      <w:numFmt w:val="bullet"/>
      <w:lvlText w:val=""/>
      <w:lvlJc w:val="left"/>
      <w:pPr>
        <w:ind w:left="720" w:hanging="360"/>
      </w:pPr>
      <w:rPr>
        <w:rFonts w:ascii="Symbol" w:hAnsi="Symbol" w:hint="default"/>
      </w:rPr>
    </w:lvl>
    <w:lvl w:ilvl="1" w:tplc="3D5659B6" w:tentative="1">
      <w:start w:val="1"/>
      <w:numFmt w:val="bullet"/>
      <w:lvlText w:val="o"/>
      <w:lvlJc w:val="left"/>
      <w:pPr>
        <w:ind w:left="1440" w:hanging="360"/>
      </w:pPr>
      <w:rPr>
        <w:rFonts w:ascii="Courier New" w:hAnsi="Courier New" w:cs="Courier New" w:hint="default"/>
      </w:rPr>
    </w:lvl>
    <w:lvl w:ilvl="2" w:tplc="FDE01C5C" w:tentative="1">
      <w:start w:val="1"/>
      <w:numFmt w:val="bullet"/>
      <w:lvlText w:val=""/>
      <w:lvlJc w:val="left"/>
      <w:pPr>
        <w:ind w:left="2160" w:hanging="360"/>
      </w:pPr>
      <w:rPr>
        <w:rFonts w:ascii="Wingdings" w:hAnsi="Wingdings" w:hint="default"/>
      </w:rPr>
    </w:lvl>
    <w:lvl w:ilvl="3" w:tplc="405ECF5C" w:tentative="1">
      <w:start w:val="1"/>
      <w:numFmt w:val="bullet"/>
      <w:lvlText w:val=""/>
      <w:lvlJc w:val="left"/>
      <w:pPr>
        <w:ind w:left="2880" w:hanging="360"/>
      </w:pPr>
      <w:rPr>
        <w:rFonts w:ascii="Symbol" w:hAnsi="Symbol" w:hint="default"/>
      </w:rPr>
    </w:lvl>
    <w:lvl w:ilvl="4" w:tplc="B0EAB174" w:tentative="1">
      <w:start w:val="1"/>
      <w:numFmt w:val="bullet"/>
      <w:lvlText w:val="o"/>
      <w:lvlJc w:val="left"/>
      <w:pPr>
        <w:ind w:left="3600" w:hanging="360"/>
      </w:pPr>
      <w:rPr>
        <w:rFonts w:ascii="Courier New" w:hAnsi="Courier New" w:cs="Courier New" w:hint="default"/>
      </w:rPr>
    </w:lvl>
    <w:lvl w:ilvl="5" w:tplc="2EC484A0" w:tentative="1">
      <w:start w:val="1"/>
      <w:numFmt w:val="bullet"/>
      <w:lvlText w:val=""/>
      <w:lvlJc w:val="left"/>
      <w:pPr>
        <w:ind w:left="4320" w:hanging="360"/>
      </w:pPr>
      <w:rPr>
        <w:rFonts w:ascii="Wingdings" w:hAnsi="Wingdings" w:hint="default"/>
      </w:rPr>
    </w:lvl>
    <w:lvl w:ilvl="6" w:tplc="6F84975C" w:tentative="1">
      <w:start w:val="1"/>
      <w:numFmt w:val="bullet"/>
      <w:lvlText w:val=""/>
      <w:lvlJc w:val="left"/>
      <w:pPr>
        <w:ind w:left="5040" w:hanging="360"/>
      </w:pPr>
      <w:rPr>
        <w:rFonts w:ascii="Symbol" w:hAnsi="Symbol" w:hint="default"/>
      </w:rPr>
    </w:lvl>
    <w:lvl w:ilvl="7" w:tplc="43322A0E" w:tentative="1">
      <w:start w:val="1"/>
      <w:numFmt w:val="bullet"/>
      <w:lvlText w:val="o"/>
      <w:lvlJc w:val="left"/>
      <w:pPr>
        <w:ind w:left="5760" w:hanging="360"/>
      </w:pPr>
      <w:rPr>
        <w:rFonts w:ascii="Courier New" w:hAnsi="Courier New" w:cs="Courier New" w:hint="default"/>
      </w:rPr>
    </w:lvl>
    <w:lvl w:ilvl="8" w:tplc="BA38AC58" w:tentative="1">
      <w:start w:val="1"/>
      <w:numFmt w:val="bullet"/>
      <w:lvlText w:val=""/>
      <w:lvlJc w:val="left"/>
      <w:pPr>
        <w:ind w:left="6480" w:hanging="360"/>
      </w:pPr>
      <w:rPr>
        <w:rFonts w:ascii="Wingdings" w:hAnsi="Wingdings" w:hint="default"/>
      </w:rPr>
    </w:lvl>
  </w:abstractNum>
  <w:abstractNum w:abstractNumId="13" w15:restartNumberingAfterBreak="0">
    <w:nsid w:val="5E077466"/>
    <w:multiLevelType w:val="hybridMultilevel"/>
    <w:tmpl w:val="904638D0"/>
    <w:lvl w:ilvl="0" w:tplc="027CBED8">
      <w:start w:val="1"/>
      <w:numFmt w:val="bullet"/>
      <w:lvlText w:val=""/>
      <w:lvlJc w:val="left"/>
      <w:pPr>
        <w:ind w:left="720" w:hanging="360"/>
      </w:pPr>
      <w:rPr>
        <w:rFonts w:ascii="Symbol" w:hAnsi="Symbol" w:hint="default"/>
      </w:rPr>
    </w:lvl>
    <w:lvl w:ilvl="1" w:tplc="176276C2" w:tentative="1">
      <w:start w:val="1"/>
      <w:numFmt w:val="bullet"/>
      <w:lvlText w:val="o"/>
      <w:lvlJc w:val="left"/>
      <w:pPr>
        <w:ind w:left="1440" w:hanging="360"/>
      </w:pPr>
      <w:rPr>
        <w:rFonts w:ascii="Courier New" w:hAnsi="Courier New" w:cs="Courier New" w:hint="default"/>
      </w:rPr>
    </w:lvl>
    <w:lvl w:ilvl="2" w:tplc="9514A06E" w:tentative="1">
      <w:start w:val="1"/>
      <w:numFmt w:val="bullet"/>
      <w:lvlText w:val=""/>
      <w:lvlJc w:val="left"/>
      <w:pPr>
        <w:ind w:left="2160" w:hanging="360"/>
      </w:pPr>
      <w:rPr>
        <w:rFonts w:ascii="Wingdings" w:hAnsi="Wingdings" w:hint="default"/>
      </w:rPr>
    </w:lvl>
    <w:lvl w:ilvl="3" w:tplc="25FCBA60" w:tentative="1">
      <w:start w:val="1"/>
      <w:numFmt w:val="bullet"/>
      <w:lvlText w:val=""/>
      <w:lvlJc w:val="left"/>
      <w:pPr>
        <w:ind w:left="2880" w:hanging="360"/>
      </w:pPr>
      <w:rPr>
        <w:rFonts w:ascii="Symbol" w:hAnsi="Symbol" w:hint="default"/>
      </w:rPr>
    </w:lvl>
    <w:lvl w:ilvl="4" w:tplc="A2168E0C" w:tentative="1">
      <w:start w:val="1"/>
      <w:numFmt w:val="bullet"/>
      <w:lvlText w:val="o"/>
      <w:lvlJc w:val="left"/>
      <w:pPr>
        <w:ind w:left="3600" w:hanging="360"/>
      </w:pPr>
      <w:rPr>
        <w:rFonts w:ascii="Courier New" w:hAnsi="Courier New" w:cs="Courier New" w:hint="default"/>
      </w:rPr>
    </w:lvl>
    <w:lvl w:ilvl="5" w:tplc="EC0ABC0A" w:tentative="1">
      <w:start w:val="1"/>
      <w:numFmt w:val="bullet"/>
      <w:lvlText w:val=""/>
      <w:lvlJc w:val="left"/>
      <w:pPr>
        <w:ind w:left="4320" w:hanging="360"/>
      </w:pPr>
      <w:rPr>
        <w:rFonts w:ascii="Wingdings" w:hAnsi="Wingdings" w:hint="default"/>
      </w:rPr>
    </w:lvl>
    <w:lvl w:ilvl="6" w:tplc="57886B66" w:tentative="1">
      <w:start w:val="1"/>
      <w:numFmt w:val="bullet"/>
      <w:lvlText w:val=""/>
      <w:lvlJc w:val="left"/>
      <w:pPr>
        <w:ind w:left="5040" w:hanging="360"/>
      </w:pPr>
      <w:rPr>
        <w:rFonts w:ascii="Symbol" w:hAnsi="Symbol" w:hint="default"/>
      </w:rPr>
    </w:lvl>
    <w:lvl w:ilvl="7" w:tplc="A738B090" w:tentative="1">
      <w:start w:val="1"/>
      <w:numFmt w:val="bullet"/>
      <w:lvlText w:val="o"/>
      <w:lvlJc w:val="left"/>
      <w:pPr>
        <w:ind w:left="5760" w:hanging="360"/>
      </w:pPr>
      <w:rPr>
        <w:rFonts w:ascii="Courier New" w:hAnsi="Courier New" w:cs="Courier New" w:hint="default"/>
      </w:rPr>
    </w:lvl>
    <w:lvl w:ilvl="8" w:tplc="02E8ECC8" w:tentative="1">
      <w:start w:val="1"/>
      <w:numFmt w:val="bullet"/>
      <w:lvlText w:val=""/>
      <w:lvlJc w:val="left"/>
      <w:pPr>
        <w:ind w:left="6480" w:hanging="360"/>
      </w:pPr>
      <w:rPr>
        <w:rFonts w:ascii="Wingdings" w:hAnsi="Wingdings" w:hint="default"/>
      </w:rPr>
    </w:lvl>
  </w:abstractNum>
  <w:abstractNum w:abstractNumId="14" w15:restartNumberingAfterBreak="0">
    <w:nsid w:val="65425209"/>
    <w:multiLevelType w:val="hybridMultilevel"/>
    <w:tmpl w:val="BF70E5BA"/>
    <w:lvl w:ilvl="0" w:tplc="012C4C00">
      <w:start w:val="1"/>
      <w:numFmt w:val="bullet"/>
      <w:lvlText w:val=""/>
      <w:lvlJc w:val="left"/>
      <w:pPr>
        <w:ind w:left="720" w:hanging="360"/>
      </w:pPr>
      <w:rPr>
        <w:rFonts w:ascii="Symbol" w:hAnsi="Symbol" w:hint="default"/>
      </w:rPr>
    </w:lvl>
    <w:lvl w:ilvl="1" w:tplc="1B4A703A" w:tentative="1">
      <w:start w:val="1"/>
      <w:numFmt w:val="bullet"/>
      <w:lvlText w:val="o"/>
      <w:lvlJc w:val="left"/>
      <w:pPr>
        <w:ind w:left="1440" w:hanging="360"/>
      </w:pPr>
      <w:rPr>
        <w:rFonts w:ascii="Courier New" w:hAnsi="Courier New" w:cs="Courier New" w:hint="default"/>
      </w:rPr>
    </w:lvl>
    <w:lvl w:ilvl="2" w:tplc="E4ECC92A" w:tentative="1">
      <w:start w:val="1"/>
      <w:numFmt w:val="bullet"/>
      <w:lvlText w:val=""/>
      <w:lvlJc w:val="left"/>
      <w:pPr>
        <w:ind w:left="2160" w:hanging="360"/>
      </w:pPr>
      <w:rPr>
        <w:rFonts w:ascii="Wingdings" w:hAnsi="Wingdings" w:hint="default"/>
      </w:rPr>
    </w:lvl>
    <w:lvl w:ilvl="3" w:tplc="F9D61838" w:tentative="1">
      <w:start w:val="1"/>
      <w:numFmt w:val="bullet"/>
      <w:lvlText w:val=""/>
      <w:lvlJc w:val="left"/>
      <w:pPr>
        <w:ind w:left="2880" w:hanging="360"/>
      </w:pPr>
      <w:rPr>
        <w:rFonts w:ascii="Symbol" w:hAnsi="Symbol" w:hint="default"/>
      </w:rPr>
    </w:lvl>
    <w:lvl w:ilvl="4" w:tplc="5BB007F2" w:tentative="1">
      <w:start w:val="1"/>
      <w:numFmt w:val="bullet"/>
      <w:lvlText w:val="o"/>
      <w:lvlJc w:val="left"/>
      <w:pPr>
        <w:ind w:left="3600" w:hanging="360"/>
      </w:pPr>
      <w:rPr>
        <w:rFonts w:ascii="Courier New" w:hAnsi="Courier New" w:cs="Courier New" w:hint="default"/>
      </w:rPr>
    </w:lvl>
    <w:lvl w:ilvl="5" w:tplc="2E18952A" w:tentative="1">
      <w:start w:val="1"/>
      <w:numFmt w:val="bullet"/>
      <w:lvlText w:val=""/>
      <w:lvlJc w:val="left"/>
      <w:pPr>
        <w:ind w:left="4320" w:hanging="360"/>
      </w:pPr>
      <w:rPr>
        <w:rFonts w:ascii="Wingdings" w:hAnsi="Wingdings" w:hint="default"/>
      </w:rPr>
    </w:lvl>
    <w:lvl w:ilvl="6" w:tplc="D8F6D670" w:tentative="1">
      <w:start w:val="1"/>
      <w:numFmt w:val="bullet"/>
      <w:lvlText w:val=""/>
      <w:lvlJc w:val="left"/>
      <w:pPr>
        <w:ind w:left="5040" w:hanging="360"/>
      </w:pPr>
      <w:rPr>
        <w:rFonts w:ascii="Symbol" w:hAnsi="Symbol" w:hint="default"/>
      </w:rPr>
    </w:lvl>
    <w:lvl w:ilvl="7" w:tplc="2BA6E2EE" w:tentative="1">
      <w:start w:val="1"/>
      <w:numFmt w:val="bullet"/>
      <w:lvlText w:val="o"/>
      <w:lvlJc w:val="left"/>
      <w:pPr>
        <w:ind w:left="5760" w:hanging="360"/>
      </w:pPr>
      <w:rPr>
        <w:rFonts w:ascii="Courier New" w:hAnsi="Courier New" w:cs="Courier New" w:hint="default"/>
      </w:rPr>
    </w:lvl>
    <w:lvl w:ilvl="8" w:tplc="7E2A8304" w:tentative="1">
      <w:start w:val="1"/>
      <w:numFmt w:val="bullet"/>
      <w:lvlText w:val=""/>
      <w:lvlJc w:val="left"/>
      <w:pPr>
        <w:ind w:left="6480" w:hanging="360"/>
      </w:pPr>
      <w:rPr>
        <w:rFonts w:ascii="Wingdings" w:hAnsi="Wingdings" w:hint="default"/>
      </w:rPr>
    </w:lvl>
  </w:abstractNum>
  <w:abstractNum w:abstractNumId="15" w15:restartNumberingAfterBreak="0">
    <w:nsid w:val="6DBF191B"/>
    <w:multiLevelType w:val="hybridMultilevel"/>
    <w:tmpl w:val="C02AB310"/>
    <w:lvl w:ilvl="0" w:tplc="3BC2EA88">
      <w:start w:val="1"/>
      <w:numFmt w:val="bullet"/>
      <w:lvlText w:val=""/>
      <w:lvlJc w:val="left"/>
      <w:pPr>
        <w:ind w:left="720" w:hanging="360"/>
      </w:pPr>
      <w:rPr>
        <w:rFonts w:ascii="Symbol" w:hAnsi="Symbol" w:hint="default"/>
      </w:rPr>
    </w:lvl>
    <w:lvl w:ilvl="1" w:tplc="FC8E9EC2" w:tentative="1">
      <w:start w:val="1"/>
      <w:numFmt w:val="bullet"/>
      <w:lvlText w:val="o"/>
      <w:lvlJc w:val="left"/>
      <w:pPr>
        <w:ind w:left="1440" w:hanging="360"/>
      </w:pPr>
      <w:rPr>
        <w:rFonts w:ascii="Courier New" w:hAnsi="Courier New" w:cs="Courier New" w:hint="default"/>
      </w:rPr>
    </w:lvl>
    <w:lvl w:ilvl="2" w:tplc="0BE49D18" w:tentative="1">
      <w:start w:val="1"/>
      <w:numFmt w:val="bullet"/>
      <w:lvlText w:val=""/>
      <w:lvlJc w:val="left"/>
      <w:pPr>
        <w:ind w:left="2160" w:hanging="360"/>
      </w:pPr>
      <w:rPr>
        <w:rFonts w:ascii="Wingdings" w:hAnsi="Wingdings" w:hint="default"/>
      </w:rPr>
    </w:lvl>
    <w:lvl w:ilvl="3" w:tplc="46F8EE6C" w:tentative="1">
      <w:start w:val="1"/>
      <w:numFmt w:val="bullet"/>
      <w:lvlText w:val=""/>
      <w:lvlJc w:val="left"/>
      <w:pPr>
        <w:ind w:left="2880" w:hanging="360"/>
      </w:pPr>
      <w:rPr>
        <w:rFonts w:ascii="Symbol" w:hAnsi="Symbol" w:hint="default"/>
      </w:rPr>
    </w:lvl>
    <w:lvl w:ilvl="4" w:tplc="46EE6866" w:tentative="1">
      <w:start w:val="1"/>
      <w:numFmt w:val="bullet"/>
      <w:lvlText w:val="o"/>
      <w:lvlJc w:val="left"/>
      <w:pPr>
        <w:ind w:left="3600" w:hanging="360"/>
      </w:pPr>
      <w:rPr>
        <w:rFonts w:ascii="Courier New" w:hAnsi="Courier New" w:cs="Courier New" w:hint="default"/>
      </w:rPr>
    </w:lvl>
    <w:lvl w:ilvl="5" w:tplc="770EE3D8" w:tentative="1">
      <w:start w:val="1"/>
      <w:numFmt w:val="bullet"/>
      <w:lvlText w:val=""/>
      <w:lvlJc w:val="left"/>
      <w:pPr>
        <w:ind w:left="4320" w:hanging="360"/>
      </w:pPr>
      <w:rPr>
        <w:rFonts w:ascii="Wingdings" w:hAnsi="Wingdings" w:hint="default"/>
      </w:rPr>
    </w:lvl>
    <w:lvl w:ilvl="6" w:tplc="89A89B86" w:tentative="1">
      <w:start w:val="1"/>
      <w:numFmt w:val="bullet"/>
      <w:lvlText w:val=""/>
      <w:lvlJc w:val="left"/>
      <w:pPr>
        <w:ind w:left="5040" w:hanging="360"/>
      </w:pPr>
      <w:rPr>
        <w:rFonts w:ascii="Symbol" w:hAnsi="Symbol" w:hint="default"/>
      </w:rPr>
    </w:lvl>
    <w:lvl w:ilvl="7" w:tplc="EA9AD97E" w:tentative="1">
      <w:start w:val="1"/>
      <w:numFmt w:val="bullet"/>
      <w:lvlText w:val="o"/>
      <w:lvlJc w:val="left"/>
      <w:pPr>
        <w:ind w:left="5760" w:hanging="360"/>
      </w:pPr>
      <w:rPr>
        <w:rFonts w:ascii="Courier New" w:hAnsi="Courier New" w:cs="Courier New" w:hint="default"/>
      </w:rPr>
    </w:lvl>
    <w:lvl w:ilvl="8" w:tplc="6A40BA8E" w:tentative="1">
      <w:start w:val="1"/>
      <w:numFmt w:val="bullet"/>
      <w:lvlText w:val=""/>
      <w:lvlJc w:val="left"/>
      <w:pPr>
        <w:ind w:left="6480" w:hanging="360"/>
      </w:pPr>
      <w:rPr>
        <w:rFonts w:ascii="Wingdings" w:hAnsi="Wingdings" w:hint="default"/>
      </w:rPr>
    </w:lvl>
  </w:abstractNum>
  <w:abstractNum w:abstractNumId="16" w15:restartNumberingAfterBreak="0">
    <w:nsid w:val="712C6B77"/>
    <w:multiLevelType w:val="hybridMultilevel"/>
    <w:tmpl w:val="808278F0"/>
    <w:lvl w:ilvl="0" w:tplc="DBE80A2C">
      <w:start w:val="1"/>
      <w:numFmt w:val="decimal"/>
      <w:pStyle w:val="Heading3-numbered"/>
      <w:lvlText w:val="%1."/>
      <w:lvlJc w:val="left"/>
      <w:pPr>
        <w:ind w:left="360" w:hanging="360"/>
      </w:pPr>
      <w:rPr>
        <w:b/>
        <w:i w:val="0"/>
        <w:color w:val="auto"/>
        <w:sz w:val="28"/>
        <w:szCs w:val="28"/>
      </w:rPr>
    </w:lvl>
    <w:lvl w:ilvl="1" w:tplc="B53EA368" w:tentative="1">
      <w:start w:val="1"/>
      <w:numFmt w:val="lowerLetter"/>
      <w:lvlText w:val="%2."/>
      <w:lvlJc w:val="left"/>
      <w:pPr>
        <w:ind w:left="1080" w:hanging="360"/>
      </w:pPr>
    </w:lvl>
    <w:lvl w:ilvl="2" w:tplc="34F4C210" w:tentative="1">
      <w:start w:val="1"/>
      <w:numFmt w:val="lowerRoman"/>
      <w:pStyle w:val="Heading3-numbered"/>
      <w:lvlText w:val="%3."/>
      <w:lvlJc w:val="right"/>
      <w:pPr>
        <w:ind w:left="1800" w:hanging="180"/>
      </w:pPr>
    </w:lvl>
    <w:lvl w:ilvl="3" w:tplc="971EC868" w:tentative="1">
      <w:start w:val="1"/>
      <w:numFmt w:val="decimal"/>
      <w:lvlText w:val="%4."/>
      <w:lvlJc w:val="left"/>
      <w:pPr>
        <w:ind w:left="2520" w:hanging="360"/>
      </w:pPr>
    </w:lvl>
    <w:lvl w:ilvl="4" w:tplc="C6FE7BE0" w:tentative="1">
      <w:start w:val="1"/>
      <w:numFmt w:val="lowerLetter"/>
      <w:lvlText w:val="%5."/>
      <w:lvlJc w:val="left"/>
      <w:pPr>
        <w:ind w:left="3240" w:hanging="360"/>
      </w:pPr>
    </w:lvl>
    <w:lvl w:ilvl="5" w:tplc="B8ECD9D6" w:tentative="1">
      <w:start w:val="1"/>
      <w:numFmt w:val="lowerRoman"/>
      <w:lvlText w:val="%6."/>
      <w:lvlJc w:val="right"/>
      <w:pPr>
        <w:ind w:left="3960" w:hanging="180"/>
      </w:pPr>
    </w:lvl>
    <w:lvl w:ilvl="6" w:tplc="806E6A56" w:tentative="1">
      <w:start w:val="1"/>
      <w:numFmt w:val="decimal"/>
      <w:lvlText w:val="%7."/>
      <w:lvlJc w:val="left"/>
      <w:pPr>
        <w:ind w:left="4680" w:hanging="360"/>
      </w:pPr>
    </w:lvl>
    <w:lvl w:ilvl="7" w:tplc="C8365652" w:tentative="1">
      <w:start w:val="1"/>
      <w:numFmt w:val="lowerLetter"/>
      <w:lvlText w:val="%8."/>
      <w:lvlJc w:val="left"/>
      <w:pPr>
        <w:ind w:left="5400" w:hanging="360"/>
      </w:pPr>
    </w:lvl>
    <w:lvl w:ilvl="8" w:tplc="F190B8B6" w:tentative="1">
      <w:start w:val="1"/>
      <w:numFmt w:val="lowerRoman"/>
      <w:lvlText w:val="%9."/>
      <w:lvlJc w:val="right"/>
      <w:pPr>
        <w:ind w:left="6120" w:hanging="180"/>
      </w:pPr>
    </w:lvl>
  </w:abstractNum>
  <w:abstractNum w:abstractNumId="17" w15:restartNumberingAfterBreak="0">
    <w:nsid w:val="71D004B4"/>
    <w:multiLevelType w:val="hybridMultilevel"/>
    <w:tmpl w:val="5CF0F4DE"/>
    <w:lvl w:ilvl="0" w:tplc="0082BEB0">
      <w:start w:val="1"/>
      <w:numFmt w:val="bullet"/>
      <w:lvlText w:val=""/>
      <w:lvlJc w:val="left"/>
      <w:pPr>
        <w:ind w:left="720" w:hanging="360"/>
      </w:pPr>
      <w:rPr>
        <w:rFonts w:ascii="Symbol" w:hAnsi="Symbol" w:hint="default"/>
      </w:rPr>
    </w:lvl>
    <w:lvl w:ilvl="1" w:tplc="1E9477D8" w:tentative="1">
      <w:start w:val="1"/>
      <w:numFmt w:val="bullet"/>
      <w:lvlText w:val="o"/>
      <w:lvlJc w:val="left"/>
      <w:pPr>
        <w:ind w:left="1440" w:hanging="360"/>
      </w:pPr>
      <w:rPr>
        <w:rFonts w:ascii="Courier New" w:hAnsi="Courier New" w:cs="Courier New" w:hint="default"/>
      </w:rPr>
    </w:lvl>
    <w:lvl w:ilvl="2" w:tplc="F45044C6" w:tentative="1">
      <w:start w:val="1"/>
      <w:numFmt w:val="bullet"/>
      <w:lvlText w:val=""/>
      <w:lvlJc w:val="left"/>
      <w:pPr>
        <w:ind w:left="2160" w:hanging="360"/>
      </w:pPr>
      <w:rPr>
        <w:rFonts w:ascii="Wingdings" w:hAnsi="Wingdings" w:hint="default"/>
      </w:rPr>
    </w:lvl>
    <w:lvl w:ilvl="3" w:tplc="E5E62998" w:tentative="1">
      <w:start w:val="1"/>
      <w:numFmt w:val="bullet"/>
      <w:lvlText w:val=""/>
      <w:lvlJc w:val="left"/>
      <w:pPr>
        <w:ind w:left="2880" w:hanging="360"/>
      </w:pPr>
      <w:rPr>
        <w:rFonts w:ascii="Symbol" w:hAnsi="Symbol" w:hint="default"/>
      </w:rPr>
    </w:lvl>
    <w:lvl w:ilvl="4" w:tplc="34F041D6" w:tentative="1">
      <w:start w:val="1"/>
      <w:numFmt w:val="bullet"/>
      <w:lvlText w:val="o"/>
      <w:lvlJc w:val="left"/>
      <w:pPr>
        <w:ind w:left="3600" w:hanging="360"/>
      </w:pPr>
      <w:rPr>
        <w:rFonts w:ascii="Courier New" w:hAnsi="Courier New" w:cs="Courier New" w:hint="default"/>
      </w:rPr>
    </w:lvl>
    <w:lvl w:ilvl="5" w:tplc="146E0F92" w:tentative="1">
      <w:start w:val="1"/>
      <w:numFmt w:val="bullet"/>
      <w:lvlText w:val=""/>
      <w:lvlJc w:val="left"/>
      <w:pPr>
        <w:ind w:left="4320" w:hanging="360"/>
      </w:pPr>
      <w:rPr>
        <w:rFonts w:ascii="Wingdings" w:hAnsi="Wingdings" w:hint="default"/>
      </w:rPr>
    </w:lvl>
    <w:lvl w:ilvl="6" w:tplc="9D703BE0" w:tentative="1">
      <w:start w:val="1"/>
      <w:numFmt w:val="bullet"/>
      <w:lvlText w:val=""/>
      <w:lvlJc w:val="left"/>
      <w:pPr>
        <w:ind w:left="5040" w:hanging="360"/>
      </w:pPr>
      <w:rPr>
        <w:rFonts w:ascii="Symbol" w:hAnsi="Symbol" w:hint="default"/>
      </w:rPr>
    </w:lvl>
    <w:lvl w:ilvl="7" w:tplc="950A1BC4" w:tentative="1">
      <w:start w:val="1"/>
      <w:numFmt w:val="bullet"/>
      <w:lvlText w:val="o"/>
      <w:lvlJc w:val="left"/>
      <w:pPr>
        <w:ind w:left="5760" w:hanging="360"/>
      </w:pPr>
      <w:rPr>
        <w:rFonts w:ascii="Courier New" w:hAnsi="Courier New" w:cs="Courier New" w:hint="default"/>
      </w:rPr>
    </w:lvl>
    <w:lvl w:ilvl="8" w:tplc="801EA594"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5"/>
  </w:num>
  <w:num w:numId="5">
    <w:abstractNumId w:val="4"/>
  </w:num>
  <w:num w:numId="6">
    <w:abstractNumId w:val="4"/>
    <w:lvlOverride w:ilvl="0">
      <w:startOverride w:val="1"/>
    </w:lvlOverride>
  </w:num>
  <w:num w:numId="7">
    <w:abstractNumId w:val="10"/>
  </w:num>
  <w:num w:numId="8">
    <w:abstractNumId w:val="1"/>
  </w:num>
  <w:num w:numId="9">
    <w:abstractNumId w:val="11"/>
  </w:num>
  <w:num w:numId="10">
    <w:abstractNumId w:val="12"/>
  </w:num>
  <w:num w:numId="11">
    <w:abstractNumId w:val="14"/>
  </w:num>
  <w:num w:numId="12">
    <w:abstractNumId w:val="7"/>
  </w:num>
  <w:num w:numId="13">
    <w:abstractNumId w:val="15"/>
  </w:num>
  <w:num w:numId="14">
    <w:abstractNumId w:val="3"/>
  </w:num>
  <w:num w:numId="15">
    <w:abstractNumId w:val="17"/>
  </w:num>
  <w:num w:numId="16">
    <w:abstractNumId w:val="9"/>
  </w:num>
  <w:num w:numId="17">
    <w:abstractNumId w:val="13"/>
  </w:num>
  <w:num w:numId="18">
    <w:abstractNumId w:val="2"/>
  </w:num>
  <w:num w:numId="19">
    <w:abstractNumId w:val="4"/>
  </w:num>
  <w:num w:numId="20">
    <w:abstractNumId w:val="0"/>
  </w:num>
  <w:num w:numId="21">
    <w:abstractNumId w:val="5"/>
  </w:num>
  <w:num w:numId="22">
    <w:abstractNumId w:val="5"/>
  </w:num>
  <w:num w:numId="2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3FA"/>
    <w:rsid w:val="0001341B"/>
    <w:rsid w:val="00014AA3"/>
    <w:rsid w:val="00014C12"/>
    <w:rsid w:val="000150D3"/>
    <w:rsid w:val="00016F02"/>
    <w:rsid w:val="0002009B"/>
    <w:rsid w:val="00024517"/>
    <w:rsid w:val="00026301"/>
    <w:rsid w:val="000272BC"/>
    <w:rsid w:val="00027CE0"/>
    <w:rsid w:val="00030C80"/>
    <w:rsid w:val="00031172"/>
    <w:rsid w:val="000352B1"/>
    <w:rsid w:val="00040BAB"/>
    <w:rsid w:val="00041A2E"/>
    <w:rsid w:val="00045173"/>
    <w:rsid w:val="0004609F"/>
    <w:rsid w:val="00047D8B"/>
    <w:rsid w:val="0005415F"/>
    <w:rsid w:val="00054C03"/>
    <w:rsid w:val="00054EEB"/>
    <w:rsid w:val="00057E83"/>
    <w:rsid w:val="00057E90"/>
    <w:rsid w:val="000606F4"/>
    <w:rsid w:val="000633C8"/>
    <w:rsid w:val="000644EB"/>
    <w:rsid w:val="0006551C"/>
    <w:rsid w:val="00067A19"/>
    <w:rsid w:val="000701AB"/>
    <w:rsid w:val="0007117A"/>
    <w:rsid w:val="00073FB1"/>
    <w:rsid w:val="0007606B"/>
    <w:rsid w:val="0007657E"/>
    <w:rsid w:val="00082833"/>
    <w:rsid w:val="0008360D"/>
    <w:rsid w:val="00085081"/>
    <w:rsid w:val="00085254"/>
    <w:rsid w:val="00086D04"/>
    <w:rsid w:val="0009102D"/>
    <w:rsid w:val="00091BD9"/>
    <w:rsid w:val="00092756"/>
    <w:rsid w:val="0009438D"/>
    <w:rsid w:val="00096440"/>
    <w:rsid w:val="000A0F93"/>
    <w:rsid w:val="000A129B"/>
    <w:rsid w:val="000A1E1B"/>
    <w:rsid w:val="000A366F"/>
    <w:rsid w:val="000A3BD2"/>
    <w:rsid w:val="000A6507"/>
    <w:rsid w:val="000B11F8"/>
    <w:rsid w:val="000B27C3"/>
    <w:rsid w:val="000B29E0"/>
    <w:rsid w:val="000B4E7D"/>
    <w:rsid w:val="000B4FB9"/>
    <w:rsid w:val="000C43EE"/>
    <w:rsid w:val="000C4AE5"/>
    <w:rsid w:val="000C7F87"/>
    <w:rsid w:val="000D1290"/>
    <w:rsid w:val="000D15C8"/>
    <w:rsid w:val="000D3601"/>
    <w:rsid w:val="000D4BF2"/>
    <w:rsid w:val="000D6812"/>
    <w:rsid w:val="000D6819"/>
    <w:rsid w:val="000D6ABB"/>
    <w:rsid w:val="000E00B0"/>
    <w:rsid w:val="000E31D7"/>
    <w:rsid w:val="000E341A"/>
    <w:rsid w:val="000E606A"/>
    <w:rsid w:val="000E7FF0"/>
    <w:rsid w:val="000F18A8"/>
    <w:rsid w:val="000F2763"/>
    <w:rsid w:val="000F2931"/>
    <w:rsid w:val="000F6763"/>
    <w:rsid w:val="001001D6"/>
    <w:rsid w:val="001031BA"/>
    <w:rsid w:val="00106752"/>
    <w:rsid w:val="0010785D"/>
    <w:rsid w:val="00112B05"/>
    <w:rsid w:val="001137BD"/>
    <w:rsid w:val="00114166"/>
    <w:rsid w:val="001171D8"/>
    <w:rsid w:val="001248E1"/>
    <w:rsid w:val="00124FDC"/>
    <w:rsid w:val="001318F2"/>
    <w:rsid w:val="00131BA5"/>
    <w:rsid w:val="00132D5C"/>
    <w:rsid w:val="00133827"/>
    <w:rsid w:val="001405AF"/>
    <w:rsid w:val="001416EF"/>
    <w:rsid w:val="001424C5"/>
    <w:rsid w:val="00142E26"/>
    <w:rsid w:val="0014571F"/>
    <w:rsid w:val="00145C7C"/>
    <w:rsid w:val="0015063B"/>
    <w:rsid w:val="00151AEF"/>
    <w:rsid w:val="0015306C"/>
    <w:rsid w:val="0015582C"/>
    <w:rsid w:val="00157938"/>
    <w:rsid w:val="001600FA"/>
    <w:rsid w:val="0016157E"/>
    <w:rsid w:val="00162339"/>
    <w:rsid w:val="00165163"/>
    <w:rsid w:val="00174280"/>
    <w:rsid w:val="001758C8"/>
    <w:rsid w:val="0017632B"/>
    <w:rsid w:val="00180745"/>
    <w:rsid w:val="00182087"/>
    <w:rsid w:val="0018349A"/>
    <w:rsid w:val="00184FA9"/>
    <w:rsid w:val="001873E0"/>
    <w:rsid w:val="00187F57"/>
    <w:rsid w:val="0019089C"/>
    <w:rsid w:val="00194A29"/>
    <w:rsid w:val="00194CA1"/>
    <w:rsid w:val="00195242"/>
    <w:rsid w:val="00195737"/>
    <w:rsid w:val="00195E37"/>
    <w:rsid w:val="001962C6"/>
    <w:rsid w:val="0019659A"/>
    <w:rsid w:val="001A134C"/>
    <w:rsid w:val="001A1763"/>
    <w:rsid w:val="001A5E75"/>
    <w:rsid w:val="001A613D"/>
    <w:rsid w:val="001A7CEA"/>
    <w:rsid w:val="001B37A8"/>
    <w:rsid w:val="001B5D9D"/>
    <w:rsid w:val="001B7EFB"/>
    <w:rsid w:val="001C24D2"/>
    <w:rsid w:val="001C3041"/>
    <w:rsid w:val="001C36CF"/>
    <w:rsid w:val="001C36DA"/>
    <w:rsid w:val="001D1D41"/>
    <w:rsid w:val="001D2266"/>
    <w:rsid w:val="001D5EE7"/>
    <w:rsid w:val="001D6C4E"/>
    <w:rsid w:val="001D7137"/>
    <w:rsid w:val="001D7BE8"/>
    <w:rsid w:val="001E22B3"/>
    <w:rsid w:val="001E32D9"/>
    <w:rsid w:val="001E417F"/>
    <w:rsid w:val="001E6A69"/>
    <w:rsid w:val="001E7D40"/>
    <w:rsid w:val="001E7EF0"/>
    <w:rsid w:val="001F4B74"/>
    <w:rsid w:val="001F5811"/>
    <w:rsid w:val="001F67C2"/>
    <w:rsid w:val="002014C3"/>
    <w:rsid w:val="0020339B"/>
    <w:rsid w:val="00205938"/>
    <w:rsid w:val="002063E0"/>
    <w:rsid w:val="00210D52"/>
    <w:rsid w:val="00212AB2"/>
    <w:rsid w:val="002145E9"/>
    <w:rsid w:val="00214801"/>
    <w:rsid w:val="00215C4C"/>
    <w:rsid w:val="0021654A"/>
    <w:rsid w:val="002173AF"/>
    <w:rsid w:val="00220C02"/>
    <w:rsid w:val="00220EA6"/>
    <w:rsid w:val="0022139F"/>
    <w:rsid w:val="00222D1E"/>
    <w:rsid w:val="00224897"/>
    <w:rsid w:val="002262EC"/>
    <w:rsid w:val="00227E9E"/>
    <w:rsid w:val="00230C9B"/>
    <w:rsid w:val="00232C05"/>
    <w:rsid w:val="00234218"/>
    <w:rsid w:val="002345FB"/>
    <w:rsid w:val="00237DCE"/>
    <w:rsid w:val="00250C1A"/>
    <w:rsid w:val="00255D3E"/>
    <w:rsid w:val="002578B6"/>
    <w:rsid w:val="002578B8"/>
    <w:rsid w:val="002622C7"/>
    <w:rsid w:val="00263403"/>
    <w:rsid w:val="00266164"/>
    <w:rsid w:val="0026678D"/>
    <w:rsid w:val="00267E3B"/>
    <w:rsid w:val="00275B89"/>
    <w:rsid w:val="00275BB9"/>
    <w:rsid w:val="00281988"/>
    <w:rsid w:val="00285898"/>
    <w:rsid w:val="002918E8"/>
    <w:rsid w:val="00291BC3"/>
    <w:rsid w:val="00292BFA"/>
    <w:rsid w:val="0029475E"/>
    <w:rsid w:val="00295084"/>
    <w:rsid w:val="002A0203"/>
    <w:rsid w:val="002A1FB8"/>
    <w:rsid w:val="002A3292"/>
    <w:rsid w:val="002A3912"/>
    <w:rsid w:val="002A3DED"/>
    <w:rsid w:val="002A63E1"/>
    <w:rsid w:val="002A6DB9"/>
    <w:rsid w:val="002A6DE2"/>
    <w:rsid w:val="002B10B7"/>
    <w:rsid w:val="002B1321"/>
    <w:rsid w:val="002B6D8F"/>
    <w:rsid w:val="002B6FC4"/>
    <w:rsid w:val="002B7CF1"/>
    <w:rsid w:val="002C4196"/>
    <w:rsid w:val="002C6D74"/>
    <w:rsid w:val="002D5781"/>
    <w:rsid w:val="002E0CED"/>
    <w:rsid w:val="002E264E"/>
    <w:rsid w:val="002E5340"/>
    <w:rsid w:val="002F0565"/>
    <w:rsid w:val="002F2B15"/>
    <w:rsid w:val="002F3029"/>
    <w:rsid w:val="002F4AF1"/>
    <w:rsid w:val="00300555"/>
    <w:rsid w:val="003006E7"/>
    <w:rsid w:val="003051F5"/>
    <w:rsid w:val="00305434"/>
    <w:rsid w:val="003059E8"/>
    <w:rsid w:val="00307805"/>
    <w:rsid w:val="00307A78"/>
    <w:rsid w:val="00310CA7"/>
    <w:rsid w:val="003119CA"/>
    <w:rsid w:val="00311C9B"/>
    <w:rsid w:val="00312F65"/>
    <w:rsid w:val="003132E4"/>
    <w:rsid w:val="00313657"/>
    <w:rsid w:val="00316994"/>
    <w:rsid w:val="00317023"/>
    <w:rsid w:val="0032005F"/>
    <w:rsid w:val="00320988"/>
    <w:rsid w:val="003218D4"/>
    <w:rsid w:val="0032276D"/>
    <w:rsid w:val="0032298A"/>
    <w:rsid w:val="00325446"/>
    <w:rsid w:val="00325CF6"/>
    <w:rsid w:val="00326867"/>
    <w:rsid w:val="0032763D"/>
    <w:rsid w:val="00330A41"/>
    <w:rsid w:val="003321F2"/>
    <w:rsid w:val="003331FE"/>
    <w:rsid w:val="003338AD"/>
    <w:rsid w:val="003348C9"/>
    <w:rsid w:val="003350AF"/>
    <w:rsid w:val="003364CE"/>
    <w:rsid w:val="00340774"/>
    <w:rsid w:val="0034141C"/>
    <w:rsid w:val="00347E7D"/>
    <w:rsid w:val="00350F56"/>
    <w:rsid w:val="00352C6F"/>
    <w:rsid w:val="00355D2D"/>
    <w:rsid w:val="00356C1F"/>
    <w:rsid w:val="00363323"/>
    <w:rsid w:val="00365825"/>
    <w:rsid w:val="003661B9"/>
    <w:rsid w:val="00367A2C"/>
    <w:rsid w:val="00384EE4"/>
    <w:rsid w:val="00386AE8"/>
    <w:rsid w:val="00386B6C"/>
    <w:rsid w:val="00387095"/>
    <w:rsid w:val="00390A9A"/>
    <w:rsid w:val="00392C4C"/>
    <w:rsid w:val="00394115"/>
    <w:rsid w:val="00394975"/>
    <w:rsid w:val="00397D23"/>
    <w:rsid w:val="003A2227"/>
    <w:rsid w:val="003A52AB"/>
    <w:rsid w:val="003A55F8"/>
    <w:rsid w:val="003A7275"/>
    <w:rsid w:val="003A7DCB"/>
    <w:rsid w:val="003B0C73"/>
    <w:rsid w:val="003B3F04"/>
    <w:rsid w:val="003B495F"/>
    <w:rsid w:val="003B586D"/>
    <w:rsid w:val="003B7520"/>
    <w:rsid w:val="003B77BD"/>
    <w:rsid w:val="003C244A"/>
    <w:rsid w:val="003C5D0D"/>
    <w:rsid w:val="003D05C0"/>
    <w:rsid w:val="003D1166"/>
    <w:rsid w:val="003D2793"/>
    <w:rsid w:val="003E1CEE"/>
    <w:rsid w:val="003E4C50"/>
    <w:rsid w:val="003E5357"/>
    <w:rsid w:val="003E743D"/>
    <w:rsid w:val="003E7B76"/>
    <w:rsid w:val="003F0BAD"/>
    <w:rsid w:val="003F1C3E"/>
    <w:rsid w:val="003F1CF5"/>
    <w:rsid w:val="003F26A5"/>
    <w:rsid w:val="003F4D17"/>
    <w:rsid w:val="003F55B6"/>
    <w:rsid w:val="004017D8"/>
    <w:rsid w:val="0040272C"/>
    <w:rsid w:val="00403714"/>
    <w:rsid w:val="0040675F"/>
    <w:rsid w:val="004106EE"/>
    <w:rsid w:val="00414CFA"/>
    <w:rsid w:val="00414FEF"/>
    <w:rsid w:val="00415369"/>
    <w:rsid w:val="00417CFE"/>
    <w:rsid w:val="004211F6"/>
    <w:rsid w:val="00421633"/>
    <w:rsid w:val="004239C3"/>
    <w:rsid w:val="00424E57"/>
    <w:rsid w:val="0042503D"/>
    <w:rsid w:val="00433B3E"/>
    <w:rsid w:val="004355DA"/>
    <w:rsid w:val="00437414"/>
    <w:rsid w:val="004379BC"/>
    <w:rsid w:val="004409F6"/>
    <w:rsid w:val="004412A8"/>
    <w:rsid w:val="004417AA"/>
    <w:rsid w:val="00442270"/>
    <w:rsid w:val="004445A3"/>
    <w:rsid w:val="00444D45"/>
    <w:rsid w:val="004450B9"/>
    <w:rsid w:val="004460CA"/>
    <w:rsid w:val="00451699"/>
    <w:rsid w:val="00451CE6"/>
    <w:rsid w:val="004533FD"/>
    <w:rsid w:val="00455EF9"/>
    <w:rsid w:val="00456DDD"/>
    <w:rsid w:val="00460F23"/>
    <w:rsid w:val="004617C1"/>
    <w:rsid w:val="00461D93"/>
    <w:rsid w:val="00462D00"/>
    <w:rsid w:val="00462EE6"/>
    <w:rsid w:val="00462FE9"/>
    <w:rsid w:val="00465315"/>
    <w:rsid w:val="0046564D"/>
    <w:rsid w:val="0047250F"/>
    <w:rsid w:val="00472A0F"/>
    <w:rsid w:val="00487350"/>
    <w:rsid w:val="004903F6"/>
    <w:rsid w:val="00493656"/>
    <w:rsid w:val="00493C10"/>
    <w:rsid w:val="0049599B"/>
    <w:rsid w:val="004A4F18"/>
    <w:rsid w:val="004A6BFC"/>
    <w:rsid w:val="004B139B"/>
    <w:rsid w:val="004B445E"/>
    <w:rsid w:val="004B47C1"/>
    <w:rsid w:val="004B573E"/>
    <w:rsid w:val="004B6F1E"/>
    <w:rsid w:val="004C22BB"/>
    <w:rsid w:val="004C2626"/>
    <w:rsid w:val="004C4F1E"/>
    <w:rsid w:val="004C6157"/>
    <w:rsid w:val="004C7CAB"/>
    <w:rsid w:val="004D0F2F"/>
    <w:rsid w:val="004D43F2"/>
    <w:rsid w:val="004D5FEC"/>
    <w:rsid w:val="004D5FF3"/>
    <w:rsid w:val="004E0674"/>
    <w:rsid w:val="004E316A"/>
    <w:rsid w:val="004F1020"/>
    <w:rsid w:val="004F1B01"/>
    <w:rsid w:val="004F480D"/>
    <w:rsid w:val="004F4F4A"/>
    <w:rsid w:val="004F7221"/>
    <w:rsid w:val="005001EC"/>
    <w:rsid w:val="0050077D"/>
    <w:rsid w:val="00501BC1"/>
    <w:rsid w:val="00502DB5"/>
    <w:rsid w:val="005036CD"/>
    <w:rsid w:val="005048A6"/>
    <w:rsid w:val="005107F5"/>
    <w:rsid w:val="00510A25"/>
    <w:rsid w:val="00511F5D"/>
    <w:rsid w:val="00512EC6"/>
    <w:rsid w:val="00513E55"/>
    <w:rsid w:val="005143AB"/>
    <w:rsid w:val="00514F56"/>
    <w:rsid w:val="005154CB"/>
    <w:rsid w:val="00515E9E"/>
    <w:rsid w:val="00516099"/>
    <w:rsid w:val="00516FCA"/>
    <w:rsid w:val="00517666"/>
    <w:rsid w:val="0052250F"/>
    <w:rsid w:val="00525C1C"/>
    <w:rsid w:val="00526EC1"/>
    <w:rsid w:val="00531F2A"/>
    <w:rsid w:val="005324C7"/>
    <w:rsid w:val="00532974"/>
    <w:rsid w:val="00532BE2"/>
    <w:rsid w:val="005331E8"/>
    <w:rsid w:val="00533982"/>
    <w:rsid w:val="005360E5"/>
    <w:rsid w:val="005367FE"/>
    <w:rsid w:val="00537D3A"/>
    <w:rsid w:val="00540273"/>
    <w:rsid w:val="005423C5"/>
    <w:rsid w:val="0054261B"/>
    <w:rsid w:val="00545134"/>
    <w:rsid w:val="00545EB1"/>
    <w:rsid w:val="005471B8"/>
    <w:rsid w:val="00550216"/>
    <w:rsid w:val="005518EB"/>
    <w:rsid w:val="00553DC5"/>
    <w:rsid w:val="00553EFD"/>
    <w:rsid w:val="00553FC7"/>
    <w:rsid w:val="005546BD"/>
    <w:rsid w:val="0055549D"/>
    <w:rsid w:val="00555B5D"/>
    <w:rsid w:val="005602EE"/>
    <w:rsid w:val="00562427"/>
    <w:rsid w:val="00564DC1"/>
    <w:rsid w:val="00565DF7"/>
    <w:rsid w:val="005728FB"/>
    <w:rsid w:val="005750C8"/>
    <w:rsid w:val="0057528E"/>
    <w:rsid w:val="005802F2"/>
    <w:rsid w:val="00584AA7"/>
    <w:rsid w:val="005908E3"/>
    <w:rsid w:val="00591F1A"/>
    <w:rsid w:val="0059371F"/>
    <w:rsid w:val="00594064"/>
    <w:rsid w:val="005961AA"/>
    <w:rsid w:val="005A4493"/>
    <w:rsid w:val="005A4B58"/>
    <w:rsid w:val="005A6BE8"/>
    <w:rsid w:val="005B2C04"/>
    <w:rsid w:val="005B33C7"/>
    <w:rsid w:val="005B6C39"/>
    <w:rsid w:val="005C0AD2"/>
    <w:rsid w:val="005C14AC"/>
    <w:rsid w:val="005C3761"/>
    <w:rsid w:val="005C38AB"/>
    <w:rsid w:val="005C4325"/>
    <w:rsid w:val="005C5693"/>
    <w:rsid w:val="005C7731"/>
    <w:rsid w:val="005D1585"/>
    <w:rsid w:val="005D1A79"/>
    <w:rsid w:val="005D3E30"/>
    <w:rsid w:val="005E5DF0"/>
    <w:rsid w:val="005E6D70"/>
    <w:rsid w:val="005F0A9A"/>
    <w:rsid w:val="005F53ED"/>
    <w:rsid w:val="006018A3"/>
    <w:rsid w:val="00602D56"/>
    <w:rsid w:val="006054DC"/>
    <w:rsid w:val="00605BA0"/>
    <w:rsid w:val="00610B84"/>
    <w:rsid w:val="0061106D"/>
    <w:rsid w:val="00615A3D"/>
    <w:rsid w:val="006208E7"/>
    <w:rsid w:val="0062134E"/>
    <w:rsid w:val="006226CB"/>
    <w:rsid w:val="00622AB6"/>
    <w:rsid w:val="0062583D"/>
    <w:rsid w:val="00626236"/>
    <w:rsid w:val="00630C24"/>
    <w:rsid w:val="006333DF"/>
    <w:rsid w:val="006348C4"/>
    <w:rsid w:val="0063552F"/>
    <w:rsid w:val="0063561F"/>
    <w:rsid w:val="00637CA2"/>
    <w:rsid w:val="00641054"/>
    <w:rsid w:val="00642CD8"/>
    <w:rsid w:val="006439B2"/>
    <w:rsid w:val="00650336"/>
    <w:rsid w:val="00651016"/>
    <w:rsid w:val="0065104A"/>
    <w:rsid w:val="00654564"/>
    <w:rsid w:val="006549D3"/>
    <w:rsid w:val="00656296"/>
    <w:rsid w:val="006573DF"/>
    <w:rsid w:val="00657E34"/>
    <w:rsid w:val="0066060A"/>
    <w:rsid w:val="00663E2A"/>
    <w:rsid w:val="00673658"/>
    <w:rsid w:val="00674E11"/>
    <w:rsid w:val="00675165"/>
    <w:rsid w:val="00675B77"/>
    <w:rsid w:val="00676E25"/>
    <w:rsid w:val="006803D3"/>
    <w:rsid w:val="00680488"/>
    <w:rsid w:val="006818E9"/>
    <w:rsid w:val="00684762"/>
    <w:rsid w:val="00684B24"/>
    <w:rsid w:val="00687152"/>
    <w:rsid w:val="006911ED"/>
    <w:rsid w:val="006954D5"/>
    <w:rsid w:val="00697114"/>
    <w:rsid w:val="00697733"/>
    <w:rsid w:val="0069799C"/>
    <w:rsid w:val="00697CD6"/>
    <w:rsid w:val="006A138A"/>
    <w:rsid w:val="006A7810"/>
    <w:rsid w:val="006B01C9"/>
    <w:rsid w:val="006B1F53"/>
    <w:rsid w:val="006B2933"/>
    <w:rsid w:val="006C0883"/>
    <w:rsid w:val="006C210D"/>
    <w:rsid w:val="006C400A"/>
    <w:rsid w:val="006C4F7E"/>
    <w:rsid w:val="006D1849"/>
    <w:rsid w:val="006D2EE2"/>
    <w:rsid w:val="006D4EEC"/>
    <w:rsid w:val="006D7BB1"/>
    <w:rsid w:val="006E06B1"/>
    <w:rsid w:val="006E349B"/>
    <w:rsid w:val="006E5C5E"/>
    <w:rsid w:val="006F2ACF"/>
    <w:rsid w:val="006F30E9"/>
    <w:rsid w:val="006F3466"/>
    <w:rsid w:val="006F4002"/>
    <w:rsid w:val="006F5D82"/>
    <w:rsid w:val="006F7424"/>
    <w:rsid w:val="00707F71"/>
    <w:rsid w:val="00715FC4"/>
    <w:rsid w:val="00716937"/>
    <w:rsid w:val="00716944"/>
    <w:rsid w:val="00717052"/>
    <w:rsid w:val="00722222"/>
    <w:rsid w:val="00724A20"/>
    <w:rsid w:val="00730B2B"/>
    <w:rsid w:val="007330BE"/>
    <w:rsid w:val="00736579"/>
    <w:rsid w:val="00737389"/>
    <w:rsid w:val="00737491"/>
    <w:rsid w:val="00737D0C"/>
    <w:rsid w:val="007423F7"/>
    <w:rsid w:val="00745B0F"/>
    <w:rsid w:val="00746060"/>
    <w:rsid w:val="0074650D"/>
    <w:rsid w:val="007468E3"/>
    <w:rsid w:val="00746A2C"/>
    <w:rsid w:val="00746D65"/>
    <w:rsid w:val="00753CFB"/>
    <w:rsid w:val="00753FFD"/>
    <w:rsid w:val="007602B9"/>
    <w:rsid w:val="00761A51"/>
    <w:rsid w:val="00765D0C"/>
    <w:rsid w:val="00770CBB"/>
    <w:rsid w:val="0077399D"/>
    <w:rsid w:val="00773BFD"/>
    <w:rsid w:val="00774BD0"/>
    <w:rsid w:val="007812CF"/>
    <w:rsid w:val="00782291"/>
    <w:rsid w:val="00782BD5"/>
    <w:rsid w:val="00782E3B"/>
    <w:rsid w:val="00783F29"/>
    <w:rsid w:val="00784105"/>
    <w:rsid w:val="00784516"/>
    <w:rsid w:val="00784BFA"/>
    <w:rsid w:val="007871E4"/>
    <w:rsid w:val="007923C1"/>
    <w:rsid w:val="00792631"/>
    <w:rsid w:val="007950A8"/>
    <w:rsid w:val="00795732"/>
    <w:rsid w:val="007963CD"/>
    <w:rsid w:val="00796B76"/>
    <w:rsid w:val="00796BD4"/>
    <w:rsid w:val="00796CD1"/>
    <w:rsid w:val="00797100"/>
    <w:rsid w:val="007A5DF9"/>
    <w:rsid w:val="007A6DAA"/>
    <w:rsid w:val="007A7D0A"/>
    <w:rsid w:val="007B5C1B"/>
    <w:rsid w:val="007B660E"/>
    <w:rsid w:val="007C1630"/>
    <w:rsid w:val="007C200B"/>
    <w:rsid w:val="007D0416"/>
    <w:rsid w:val="007D2D59"/>
    <w:rsid w:val="007D3C18"/>
    <w:rsid w:val="007D59ED"/>
    <w:rsid w:val="007D735D"/>
    <w:rsid w:val="007E1CBA"/>
    <w:rsid w:val="007E1FED"/>
    <w:rsid w:val="007E49D3"/>
    <w:rsid w:val="007E778D"/>
    <w:rsid w:val="007F0E6B"/>
    <w:rsid w:val="007F0EFB"/>
    <w:rsid w:val="007F158D"/>
    <w:rsid w:val="007F4291"/>
    <w:rsid w:val="007F4CE5"/>
    <w:rsid w:val="007F55A1"/>
    <w:rsid w:val="00800270"/>
    <w:rsid w:val="0080329C"/>
    <w:rsid w:val="008042B5"/>
    <w:rsid w:val="00807337"/>
    <w:rsid w:val="00810BA6"/>
    <w:rsid w:val="00813CEC"/>
    <w:rsid w:val="00817D25"/>
    <w:rsid w:val="00820FAB"/>
    <w:rsid w:val="008211E3"/>
    <w:rsid w:val="008224EB"/>
    <w:rsid w:val="00825300"/>
    <w:rsid w:val="0082682D"/>
    <w:rsid w:val="00831C72"/>
    <w:rsid w:val="00837444"/>
    <w:rsid w:val="00843FA3"/>
    <w:rsid w:val="0084451A"/>
    <w:rsid w:val="00846066"/>
    <w:rsid w:val="00846AEA"/>
    <w:rsid w:val="00846DAF"/>
    <w:rsid w:val="008471B1"/>
    <w:rsid w:val="00850008"/>
    <w:rsid w:val="00850B8B"/>
    <w:rsid w:val="00853052"/>
    <w:rsid w:val="00853D51"/>
    <w:rsid w:val="00855498"/>
    <w:rsid w:val="00855643"/>
    <w:rsid w:val="008556F2"/>
    <w:rsid w:val="00855E6D"/>
    <w:rsid w:val="0085646E"/>
    <w:rsid w:val="00864A7E"/>
    <w:rsid w:val="008656E7"/>
    <w:rsid w:val="008658DD"/>
    <w:rsid w:val="008707EB"/>
    <w:rsid w:val="00870AB7"/>
    <w:rsid w:val="00874FCD"/>
    <w:rsid w:val="00876477"/>
    <w:rsid w:val="0088444B"/>
    <w:rsid w:val="0088658B"/>
    <w:rsid w:val="00886A5B"/>
    <w:rsid w:val="00886A88"/>
    <w:rsid w:val="00887B46"/>
    <w:rsid w:val="00887C6E"/>
    <w:rsid w:val="00890F8B"/>
    <w:rsid w:val="00892454"/>
    <w:rsid w:val="00893C66"/>
    <w:rsid w:val="008953EB"/>
    <w:rsid w:val="00896060"/>
    <w:rsid w:val="008A0808"/>
    <w:rsid w:val="008A1093"/>
    <w:rsid w:val="008A17F4"/>
    <w:rsid w:val="008A1CC5"/>
    <w:rsid w:val="008A2CC6"/>
    <w:rsid w:val="008A301D"/>
    <w:rsid w:val="008B27C7"/>
    <w:rsid w:val="008B48EF"/>
    <w:rsid w:val="008B70A5"/>
    <w:rsid w:val="008C0EC0"/>
    <w:rsid w:val="008C3748"/>
    <w:rsid w:val="008C443B"/>
    <w:rsid w:val="008C4EF8"/>
    <w:rsid w:val="008C6C99"/>
    <w:rsid w:val="008C70EF"/>
    <w:rsid w:val="008D24B2"/>
    <w:rsid w:val="008D4B18"/>
    <w:rsid w:val="008D4FF6"/>
    <w:rsid w:val="008D5152"/>
    <w:rsid w:val="008D58F3"/>
    <w:rsid w:val="008D6E36"/>
    <w:rsid w:val="008D72E7"/>
    <w:rsid w:val="008E05EA"/>
    <w:rsid w:val="008E0B41"/>
    <w:rsid w:val="008E11C5"/>
    <w:rsid w:val="008E2B3F"/>
    <w:rsid w:val="008E3108"/>
    <w:rsid w:val="008E40F6"/>
    <w:rsid w:val="008E5502"/>
    <w:rsid w:val="008E7B1B"/>
    <w:rsid w:val="008F0640"/>
    <w:rsid w:val="008F1904"/>
    <w:rsid w:val="008F44ED"/>
    <w:rsid w:val="008F5D0B"/>
    <w:rsid w:val="008F5F98"/>
    <w:rsid w:val="009012FB"/>
    <w:rsid w:val="009028CB"/>
    <w:rsid w:val="00903893"/>
    <w:rsid w:val="00910EE2"/>
    <w:rsid w:val="00914EC4"/>
    <w:rsid w:val="00915B1B"/>
    <w:rsid w:val="009167C5"/>
    <w:rsid w:val="00917036"/>
    <w:rsid w:val="0092219E"/>
    <w:rsid w:val="00923B24"/>
    <w:rsid w:val="0092413A"/>
    <w:rsid w:val="00926AF1"/>
    <w:rsid w:val="0093192F"/>
    <w:rsid w:val="00932A59"/>
    <w:rsid w:val="009337DD"/>
    <w:rsid w:val="009343D3"/>
    <w:rsid w:val="0093482C"/>
    <w:rsid w:val="00937EE0"/>
    <w:rsid w:val="00942AF1"/>
    <w:rsid w:val="00942BC2"/>
    <w:rsid w:val="009437C0"/>
    <w:rsid w:val="00943C2A"/>
    <w:rsid w:val="00943EF0"/>
    <w:rsid w:val="009506A8"/>
    <w:rsid w:val="009554C0"/>
    <w:rsid w:val="00955626"/>
    <w:rsid w:val="00960097"/>
    <w:rsid w:val="00961639"/>
    <w:rsid w:val="0096401E"/>
    <w:rsid w:val="00964402"/>
    <w:rsid w:val="009652E6"/>
    <w:rsid w:val="0096562E"/>
    <w:rsid w:val="00966E07"/>
    <w:rsid w:val="009677B6"/>
    <w:rsid w:val="00970D5E"/>
    <w:rsid w:val="00971041"/>
    <w:rsid w:val="0097381D"/>
    <w:rsid w:val="009741A1"/>
    <w:rsid w:val="00980C35"/>
    <w:rsid w:val="009837B1"/>
    <w:rsid w:val="009853A2"/>
    <w:rsid w:val="00987ACD"/>
    <w:rsid w:val="009900FA"/>
    <w:rsid w:val="00994E2D"/>
    <w:rsid w:val="00996E68"/>
    <w:rsid w:val="00997265"/>
    <w:rsid w:val="009A194C"/>
    <w:rsid w:val="009A1FDC"/>
    <w:rsid w:val="009A2675"/>
    <w:rsid w:val="009A40F1"/>
    <w:rsid w:val="009A4383"/>
    <w:rsid w:val="009A45BC"/>
    <w:rsid w:val="009A49D9"/>
    <w:rsid w:val="009A6988"/>
    <w:rsid w:val="009A79B2"/>
    <w:rsid w:val="009B0289"/>
    <w:rsid w:val="009B3143"/>
    <w:rsid w:val="009B36E3"/>
    <w:rsid w:val="009B4F20"/>
    <w:rsid w:val="009B5BCB"/>
    <w:rsid w:val="009C1250"/>
    <w:rsid w:val="009C33F5"/>
    <w:rsid w:val="009C4C42"/>
    <w:rsid w:val="009C5BE7"/>
    <w:rsid w:val="009C6274"/>
    <w:rsid w:val="009C760E"/>
    <w:rsid w:val="009D0C11"/>
    <w:rsid w:val="009D2F0D"/>
    <w:rsid w:val="009D4341"/>
    <w:rsid w:val="009D6041"/>
    <w:rsid w:val="009D6EAC"/>
    <w:rsid w:val="009E0556"/>
    <w:rsid w:val="009E1267"/>
    <w:rsid w:val="009E37CA"/>
    <w:rsid w:val="009E6314"/>
    <w:rsid w:val="009E65C2"/>
    <w:rsid w:val="009E7619"/>
    <w:rsid w:val="009F1A03"/>
    <w:rsid w:val="009F4138"/>
    <w:rsid w:val="009F4CEB"/>
    <w:rsid w:val="009F5710"/>
    <w:rsid w:val="009F5B7F"/>
    <w:rsid w:val="009F6553"/>
    <w:rsid w:val="009F688E"/>
    <w:rsid w:val="009F6AC7"/>
    <w:rsid w:val="009F6B07"/>
    <w:rsid w:val="00A021FE"/>
    <w:rsid w:val="00A02DF7"/>
    <w:rsid w:val="00A03200"/>
    <w:rsid w:val="00A0563B"/>
    <w:rsid w:val="00A07590"/>
    <w:rsid w:val="00A07845"/>
    <w:rsid w:val="00A07B04"/>
    <w:rsid w:val="00A07DB6"/>
    <w:rsid w:val="00A10BFA"/>
    <w:rsid w:val="00A11B6C"/>
    <w:rsid w:val="00A14357"/>
    <w:rsid w:val="00A15D5E"/>
    <w:rsid w:val="00A200D5"/>
    <w:rsid w:val="00A21794"/>
    <w:rsid w:val="00A21C4E"/>
    <w:rsid w:val="00A25308"/>
    <w:rsid w:val="00A3103D"/>
    <w:rsid w:val="00A33695"/>
    <w:rsid w:val="00A33DBA"/>
    <w:rsid w:val="00A344AC"/>
    <w:rsid w:val="00A43A8C"/>
    <w:rsid w:val="00A5127C"/>
    <w:rsid w:val="00A52571"/>
    <w:rsid w:val="00A539A7"/>
    <w:rsid w:val="00A543D2"/>
    <w:rsid w:val="00A55927"/>
    <w:rsid w:val="00A573EE"/>
    <w:rsid w:val="00A60960"/>
    <w:rsid w:val="00A61E70"/>
    <w:rsid w:val="00A6267E"/>
    <w:rsid w:val="00A63984"/>
    <w:rsid w:val="00A63D6B"/>
    <w:rsid w:val="00A65C74"/>
    <w:rsid w:val="00A67398"/>
    <w:rsid w:val="00A742E7"/>
    <w:rsid w:val="00A74890"/>
    <w:rsid w:val="00A7493E"/>
    <w:rsid w:val="00A75E7D"/>
    <w:rsid w:val="00A76229"/>
    <w:rsid w:val="00A77656"/>
    <w:rsid w:val="00A8224C"/>
    <w:rsid w:val="00A84BEF"/>
    <w:rsid w:val="00A87D18"/>
    <w:rsid w:val="00A90695"/>
    <w:rsid w:val="00A907CB"/>
    <w:rsid w:val="00A913E7"/>
    <w:rsid w:val="00A91DCE"/>
    <w:rsid w:val="00A91EF1"/>
    <w:rsid w:val="00A93141"/>
    <w:rsid w:val="00A9462E"/>
    <w:rsid w:val="00A94A35"/>
    <w:rsid w:val="00AA119B"/>
    <w:rsid w:val="00AA181A"/>
    <w:rsid w:val="00AA50C0"/>
    <w:rsid w:val="00AA5E22"/>
    <w:rsid w:val="00AA6591"/>
    <w:rsid w:val="00AA68FD"/>
    <w:rsid w:val="00AB0476"/>
    <w:rsid w:val="00AB0578"/>
    <w:rsid w:val="00AB3553"/>
    <w:rsid w:val="00AB4059"/>
    <w:rsid w:val="00AB4388"/>
    <w:rsid w:val="00AB5928"/>
    <w:rsid w:val="00AB5AC9"/>
    <w:rsid w:val="00AB5CBE"/>
    <w:rsid w:val="00AB7178"/>
    <w:rsid w:val="00AC00A8"/>
    <w:rsid w:val="00AC24DC"/>
    <w:rsid w:val="00AC3BD2"/>
    <w:rsid w:val="00AC4F3F"/>
    <w:rsid w:val="00AC4F4E"/>
    <w:rsid w:val="00AC729D"/>
    <w:rsid w:val="00AD087B"/>
    <w:rsid w:val="00AD1284"/>
    <w:rsid w:val="00AD2E2B"/>
    <w:rsid w:val="00AD651F"/>
    <w:rsid w:val="00AE05CD"/>
    <w:rsid w:val="00AE1A41"/>
    <w:rsid w:val="00AE22F5"/>
    <w:rsid w:val="00AE2389"/>
    <w:rsid w:val="00AE50AD"/>
    <w:rsid w:val="00AF12CB"/>
    <w:rsid w:val="00AF6609"/>
    <w:rsid w:val="00B0026F"/>
    <w:rsid w:val="00B02322"/>
    <w:rsid w:val="00B023F8"/>
    <w:rsid w:val="00B06C0B"/>
    <w:rsid w:val="00B06C1F"/>
    <w:rsid w:val="00B06F0A"/>
    <w:rsid w:val="00B07219"/>
    <w:rsid w:val="00B10F0A"/>
    <w:rsid w:val="00B14367"/>
    <w:rsid w:val="00B159EB"/>
    <w:rsid w:val="00B1708C"/>
    <w:rsid w:val="00B21BF4"/>
    <w:rsid w:val="00B2279B"/>
    <w:rsid w:val="00B236CE"/>
    <w:rsid w:val="00B274C4"/>
    <w:rsid w:val="00B27BD0"/>
    <w:rsid w:val="00B31163"/>
    <w:rsid w:val="00B31C6B"/>
    <w:rsid w:val="00B3255A"/>
    <w:rsid w:val="00B338D5"/>
    <w:rsid w:val="00B356EE"/>
    <w:rsid w:val="00B36058"/>
    <w:rsid w:val="00B406F6"/>
    <w:rsid w:val="00B42322"/>
    <w:rsid w:val="00B42A9D"/>
    <w:rsid w:val="00B4382D"/>
    <w:rsid w:val="00B44937"/>
    <w:rsid w:val="00B45309"/>
    <w:rsid w:val="00B45A6F"/>
    <w:rsid w:val="00B46121"/>
    <w:rsid w:val="00B47A2D"/>
    <w:rsid w:val="00B50E80"/>
    <w:rsid w:val="00B54023"/>
    <w:rsid w:val="00B56828"/>
    <w:rsid w:val="00B5683E"/>
    <w:rsid w:val="00B57131"/>
    <w:rsid w:val="00B57CAF"/>
    <w:rsid w:val="00B65BF6"/>
    <w:rsid w:val="00B66578"/>
    <w:rsid w:val="00B71934"/>
    <w:rsid w:val="00B72345"/>
    <w:rsid w:val="00B74264"/>
    <w:rsid w:val="00B74BCA"/>
    <w:rsid w:val="00B77123"/>
    <w:rsid w:val="00B801DA"/>
    <w:rsid w:val="00B811FB"/>
    <w:rsid w:val="00B814B6"/>
    <w:rsid w:val="00B90034"/>
    <w:rsid w:val="00B913A7"/>
    <w:rsid w:val="00B933CA"/>
    <w:rsid w:val="00B93B0D"/>
    <w:rsid w:val="00B93B4F"/>
    <w:rsid w:val="00B941A5"/>
    <w:rsid w:val="00BA0BBC"/>
    <w:rsid w:val="00BA613A"/>
    <w:rsid w:val="00BA71A4"/>
    <w:rsid w:val="00BB233B"/>
    <w:rsid w:val="00BB31E2"/>
    <w:rsid w:val="00BB3D15"/>
    <w:rsid w:val="00BB559B"/>
    <w:rsid w:val="00BB5647"/>
    <w:rsid w:val="00BB6465"/>
    <w:rsid w:val="00BC0ED5"/>
    <w:rsid w:val="00BC29D3"/>
    <w:rsid w:val="00BC46B9"/>
    <w:rsid w:val="00BC4A72"/>
    <w:rsid w:val="00BC5A58"/>
    <w:rsid w:val="00BC7350"/>
    <w:rsid w:val="00BD4281"/>
    <w:rsid w:val="00BD5091"/>
    <w:rsid w:val="00BD6097"/>
    <w:rsid w:val="00BE10EB"/>
    <w:rsid w:val="00BE1183"/>
    <w:rsid w:val="00BE1A91"/>
    <w:rsid w:val="00BE49D4"/>
    <w:rsid w:val="00BE4A9D"/>
    <w:rsid w:val="00BE6633"/>
    <w:rsid w:val="00BE7588"/>
    <w:rsid w:val="00BF2692"/>
    <w:rsid w:val="00BF3B3C"/>
    <w:rsid w:val="00BF5930"/>
    <w:rsid w:val="00BF6760"/>
    <w:rsid w:val="00BF6DB5"/>
    <w:rsid w:val="00C01587"/>
    <w:rsid w:val="00C04688"/>
    <w:rsid w:val="00C07666"/>
    <w:rsid w:val="00C07B47"/>
    <w:rsid w:val="00C07CC6"/>
    <w:rsid w:val="00C12482"/>
    <w:rsid w:val="00C14281"/>
    <w:rsid w:val="00C16288"/>
    <w:rsid w:val="00C1787A"/>
    <w:rsid w:val="00C26F63"/>
    <w:rsid w:val="00C27319"/>
    <w:rsid w:val="00C30A1A"/>
    <w:rsid w:val="00C31BFF"/>
    <w:rsid w:val="00C33E41"/>
    <w:rsid w:val="00C35389"/>
    <w:rsid w:val="00C36FC9"/>
    <w:rsid w:val="00C428F9"/>
    <w:rsid w:val="00C43030"/>
    <w:rsid w:val="00C43082"/>
    <w:rsid w:val="00C45AF1"/>
    <w:rsid w:val="00C46CE5"/>
    <w:rsid w:val="00C47474"/>
    <w:rsid w:val="00C50693"/>
    <w:rsid w:val="00C506BB"/>
    <w:rsid w:val="00C51A09"/>
    <w:rsid w:val="00C51C53"/>
    <w:rsid w:val="00C53823"/>
    <w:rsid w:val="00C5694A"/>
    <w:rsid w:val="00C60481"/>
    <w:rsid w:val="00C61B99"/>
    <w:rsid w:val="00C61C58"/>
    <w:rsid w:val="00C620F1"/>
    <w:rsid w:val="00C62BE1"/>
    <w:rsid w:val="00C64663"/>
    <w:rsid w:val="00C650F9"/>
    <w:rsid w:val="00C66C69"/>
    <w:rsid w:val="00C700F5"/>
    <w:rsid w:val="00C70A9A"/>
    <w:rsid w:val="00C71064"/>
    <w:rsid w:val="00C7334E"/>
    <w:rsid w:val="00C74127"/>
    <w:rsid w:val="00C80C02"/>
    <w:rsid w:val="00C850C3"/>
    <w:rsid w:val="00C85A16"/>
    <w:rsid w:val="00C85B55"/>
    <w:rsid w:val="00C85F21"/>
    <w:rsid w:val="00C864A8"/>
    <w:rsid w:val="00C868B1"/>
    <w:rsid w:val="00C90BB4"/>
    <w:rsid w:val="00C91973"/>
    <w:rsid w:val="00C94ABC"/>
    <w:rsid w:val="00C95BB7"/>
    <w:rsid w:val="00C95DD6"/>
    <w:rsid w:val="00C971F1"/>
    <w:rsid w:val="00CA010F"/>
    <w:rsid w:val="00CA356B"/>
    <w:rsid w:val="00CA420A"/>
    <w:rsid w:val="00CA4C7E"/>
    <w:rsid w:val="00CA6E44"/>
    <w:rsid w:val="00CA71F8"/>
    <w:rsid w:val="00CA7EDB"/>
    <w:rsid w:val="00CB1487"/>
    <w:rsid w:val="00CB2489"/>
    <w:rsid w:val="00CB3436"/>
    <w:rsid w:val="00CB3DA3"/>
    <w:rsid w:val="00CB3ECF"/>
    <w:rsid w:val="00CB5342"/>
    <w:rsid w:val="00CB64A4"/>
    <w:rsid w:val="00CC1213"/>
    <w:rsid w:val="00CC274F"/>
    <w:rsid w:val="00CC34A1"/>
    <w:rsid w:val="00CC35AE"/>
    <w:rsid w:val="00CC47A9"/>
    <w:rsid w:val="00CC4875"/>
    <w:rsid w:val="00CC6B2A"/>
    <w:rsid w:val="00CD058A"/>
    <w:rsid w:val="00CD3485"/>
    <w:rsid w:val="00CD7BD0"/>
    <w:rsid w:val="00CE14DE"/>
    <w:rsid w:val="00CE4295"/>
    <w:rsid w:val="00CE56AE"/>
    <w:rsid w:val="00CE7E1A"/>
    <w:rsid w:val="00CF0891"/>
    <w:rsid w:val="00CF214A"/>
    <w:rsid w:val="00CF39EC"/>
    <w:rsid w:val="00CF7239"/>
    <w:rsid w:val="00CF7382"/>
    <w:rsid w:val="00CF73DC"/>
    <w:rsid w:val="00D003A3"/>
    <w:rsid w:val="00D01229"/>
    <w:rsid w:val="00D014B3"/>
    <w:rsid w:val="00D03DF5"/>
    <w:rsid w:val="00D042AE"/>
    <w:rsid w:val="00D04825"/>
    <w:rsid w:val="00D04EB2"/>
    <w:rsid w:val="00D07DEC"/>
    <w:rsid w:val="00D10EF9"/>
    <w:rsid w:val="00D11AF6"/>
    <w:rsid w:val="00D12059"/>
    <w:rsid w:val="00D12C93"/>
    <w:rsid w:val="00D12E3E"/>
    <w:rsid w:val="00D139EF"/>
    <w:rsid w:val="00D2029B"/>
    <w:rsid w:val="00D22B6E"/>
    <w:rsid w:val="00D237C4"/>
    <w:rsid w:val="00D23C6F"/>
    <w:rsid w:val="00D259CB"/>
    <w:rsid w:val="00D3010D"/>
    <w:rsid w:val="00D306F2"/>
    <w:rsid w:val="00D311BD"/>
    <w:rsid w:val="00D32BDD"/>
    <w:rsid w:val="00D3397C"/>
    <w:rsid w:val="00D41E1D"/>
    <w:rsid w:val="00D42444"/>
    <w:rsid w:val="00D446F3"/>
    <w:rsid w:val="00D51F86"/>
    <w:rsid w:val="00D51F9E"/>
    <w:rsid w:val="00D534EE"/>
    <w:rsid w:val="00D56392"/>
    <w:rsid w:val="00D565E0"/>
    <w:rsid w:val="00D61934"/>
    <w:rsid w:val="00D634EB"/>
    <w:rsid w:val="00D65120"/>
    <w:rsid w:val="00D6520A"/>
    <w:rsid w:val="00D66B17"/>
    <w:rsid w:val="00D67B5A"/>
    <w:rsid w:val="00D7222B"/>
    <w:rsid w:val="00D768F7"/>
    <w:rsid w:val="00D80B89"/>
    <w:rsid w:val="00D80E98"/>
    <w:rsid w:val="00D810EB"/>
    <w:rsid w:val="00D811D0"/>
    <w:rsid w:val="00D83A6A"/>
    <w:rsid w:val="00D8469E"/>
    <w:rsid w:val="00D85FE0"/>
    <w:rsid w:val="00D877CB"/>
    <w:rsid w:val="00D934E3"/>
    <w:rsid w:val="00D938DD"/>
    <w:rsid w:val="00D93F3A"/>
    <w:rsid w:val="00D95247"/>
    <w:rsid w:val="00D96124"/>
    <w:rsid w:val="00DA155D"/>
    <w:rsid w:val="00DA1BB2"/>
    <w:rsid w:val="00DA2863"/>
    <w:rsid w:val="00DA38DF"/>
    <w:rsid w:val="00DA420C"/>
    <w:rsid w:val="00DA486D"/>
    <w:rsid w:val="00DA518D"/>
    <w:rsid w:val="00DB11EF"/>
    <w:rsid w:val="00DB2982"/>
    <w:rsid w:val="00DB368D"/>
    <w:rsid w:val="00DB3CCE"/>
    <w:rsid w:val="00DB3E28"/>
    <w:rsid w:val="00DB58FD"/>
    <w:rsid w:val="00DB668C"/>
    <w:rsid w:val="00DB6FF3"/>
    <w:rsid w:val="00DC0057"/>
    <w:rsid w:val="00DC7E83"/>
    <w:rsid w:val="00DD0104"/>
    <w:rsid w:val="00DD0BC8"/>
    <w:rsid w:val="00DD2999"/>
    <w:rsid w:val="00DD37E3"/>
    <w:rsid w:val="00DD5730"/>
    <w:rsid w:val="00DD6C57"/>
    <w:rsid w:val="00DD7439"/>
    <w:rsid w:val="00DD7A3F"/>
    <w:rsid w:val="00DE165B"/>
    <w:rsid w:val="00DE1AA2"/>
    <w:rsid w:val="00DE20E1"/>
    <w:rsid w:val="00DE484C"/>
    <w:rsid w:val="00DE4C6A"/>
    <w:rsid w:val="00DF19BD"/>
    <w:rsid w:val="00DF4D28"/>
    <w:rsid w:val="00DF693B"/>
    <w:rsid w:val="00DF7B43"/>
    <w:rsid w:val="00E01910"/>
    <w:rsid w:val="00E01DDD"/>
    <w:rsid w:val="00E068DE"/>
    <w:rsid w:val="00E06BF5"/>
    <w:rsid w:val="00E11A19"/>
    <w:rsid w:val="00E15B1C"/>
    <w:rsid w:val="00E17A6E"/>
    <w:rsid w:val="00E211AA"/>
    <w:rsid w:val="00E254DE"/>
    <w:rsid w:val="00E25C82"/>
    <w:rsid w:val="00E25F4E"/>
    <w:rsid w:val="00E26FC9"/>
    <w:rsid w:val="00E271ED"/>
    <w:rsid w:val="00E27B55"/>
    <w:rsid w:val="00E33FA3"/>
    <w:rsid w:val="00E34346"/>
    <w:rsid w:val="00E34589"/>
    <w:rsid w:val="00E3586B"/>
    <w:rsid w:val="00E37598"/>
    <w:rsid w:val="00E37B20"/>
    <w:rsid w:val="00E429E1"/>
    <w:rsid w:val="00E43209"/>
    <w:rsid w:val="00E43374"/>
    <w:rsid w:val="00E462B0"/>
    <w:rsid w:val="00E473C9"/>
    <w:rsid w:val="00E50314"/>
    <w:rsid w:val="00E5271B"/>
    <w:rsid w:val="00E54F5F"/>
    <w:rsid w:val="00E55B59"/>
    <w:rsid w:val="00E570CC"/>
    <w:rsid w:val="00E57BDA"/>
    <w:rsid w:val="00E657F5"/>
    <w:rsid w:val="00E6598B"/>
    <w:rsid w:val="00E65E00"/>
    <w:rsid w:val="00E66027"/>
    <w:rsid w:val="00E66418"/>
    <w:rsid w:val="00E67F76"/>
    <w:rsid w:val="00E70122"/>
    <w:rsid w:val="00E703C1"/>
    <w:rsid w:val="00E7097F"/>
    <w:rsid w:val="00E72849"/>
    <w:rsid w:val="00E8677C"/>
    <w:rsid w:val="00E92084"/>
    <w:rsid w:val="00E926FA"/>
    <w:rsid w:val="00E92D39"/>
    <w:rsid w:val="00E9373F"/>
    <w:rsid w:val="00E94011"/>
    <w:rsid w:val="00E9531F"/>
    <w:rsid w:val="00E9585B"/>
    <w:rsid w:val="00E968CE"/>
    <w:rsid w:val="00EA192E"/>
    <w:rsid w:val="00EA1E8B"/>
    <w:rsid w:val="00EA3C79"/>
    <w:rsid w:val="00EA41E9"/>
    <w:rsid w:val="00EB0CC2"/>
    <w:rsid w:val="00EB4C75"/>
    <w:rsid w:val="00EB6888"/>
    <w:rsid w:val="00EC025C"/>
    <w:rsid w:val="00EC0CD5"/>
    <w:rsid w:val="00EC134A"/>
    <w:rsid w:val="00EC25A8"/>
    <w:rsid w:val="00EC34EA"/>
    <w:rsid w:val="00EC35A5"/>
    <w:rsid w:val="00EC52A2"/>
    <w:rsid w:val="00EC55A0"/>
    <w:rsid w:val="00EC793E"/>
    <w:rsid w:val="00ED1AEF"/>
    <w:rsid w:val="00ED4B73"/>
    <w:rsid w:val="00ED55BB"/>
    <w:rsid w:val="00ED6001"/>
    <w:rsid w:val="00EE1511"/>
    <w:rsid w:val="00EE1891"/>
    <w:rsid w:val="00EE1BF5"/>
    <w:rsid w:val="00EE5660"/>
    <w:rsid w:val="00EE7FC4"/>
    <w:rsid w:val="00EF0606"/>
    <w:rsid w:val="00EF1EDB"/>
    <w:rsid w:val="00EF2F73"/>
    <w:rsid w:val="00EF3144"/>
    <w:rsid w:val="00F001B2"/>
    <w:rsid w:val="00F00ECA"/>
    <w:rsid w:val="00F07540"/>
    <w:rsid w:val="00F079C4"/>
    <w:rsid w:val="00F07D42"/>
    <w:rsid w:val="00F134C8"/>
    <w:rsid w:val="00F140A9"/>
    <w:rsid w:val="00F15B85"/>
    <w:rsid w:val="00F16533"/>
    <w:rsid w:val="00F2084D"/>
    <w:rsid w:val="00F20A21"/>
    <w:rsid w:val="00F20E9F"/>
    <w:rsid w:val="00F226CC"/>
    <w:rsid w:val="00F247D5"/>
    <w:rsid w:val="00F24CF7"/>
    <w:rsid w:val="00F26FCC"/>
    <w:rsid w:val="00F33011"/>
    <w:rsid w:val="00F33217"/>
    <w:rsid w:val="00F35782"/>
    <w:rsid w:val="00F364AA"/>
    <w:rsid w:val="00F42317"/>
    <w:rsid w:val="00F44F66"/>
    <w:rsid w:val="00F468F5"/>
    <w:rsid w:val="00F47415"/>
    <w:rsid w:val="00F52929"/>
    <w:rsid w:val="00F53668"/>
    <w:rsid w:val="00F5519A"/>
    <w:rsid w:val="00F556DC"/>
    <w:rsid w:val="00F556E8"/>
    <w:rsid w:val="00F55A01"/>
    <w:rsid w:val="00F60C47"/>
    <w:rsid w:val="00F621C3"/>
    <w:rsid w:val="00F62A33"/>
    <w:rsid w:val="00F638A4"/>
    <w:rsid w:val="00F64B5D"/>
    <w:rsid w:val="00F65ADE"/>
    <w:rsid w:val="00F73901"/>
    <w:rsid w:val="00F7563C"/>
    <w:rsid w:val="00F757F1"/>
    <w:rsid w:val="00F77950"/>
    <w:rsid w:val="00F805D8"/>
    <w:rsid w:val="00F8203E"/>
    <w:rsid w:val="00F827A6"/>
    <w:rsid w:val="00F85022"/>
    <w:rsid w:val="00F91973"/>
    <w:rsid w:val="00F93580"/>
    <w:rsid w:val="00F937D9"/>
    <w:rsid w:val="00F95C39"/>
    <w:rsid w:val="00F96C27"/>
    <w:rsid w:val="00FA09D0"/>
    <w:rsid w:val="00FA2B33"/>
    <w:rsid w:val="00FB057B"/>
    <w:rsid w:val="00FB3385"/>
    <w:rsid w:val="00FB3BBA"/>
    <w:rsid w:val="00FB485F"/>
    <w:rsid w:val="00FB7FFB"/>
    <w:rsid w:val="00FC14C0"/>
    <w:rsid w:val="00FC2752"/>
    <w:rsid w:val="00FC340F"/>
    <w:rsid w:val="00FD277C"/>
    <w:rsid w:val="00FD767B"/>
    <w:rsid w:val="00FE31FC"/>
    <w:rsid w:val="00FE3C52"/>
    <w:rsid w:val="00FE65E6"/>
    <w:rsid w:val="00FF0DB1"/>
    <w:rsid w:val="00FF2D7E"/>
    <w:rsid w:val="00FF32B0"/>
    <w:rsid w:val="00FF3C4A"/>
    <w:rsid w:val="00FF4061"/>
    <w:rsid w:val="00FF42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A409"/>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9"/>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9"/>
    <w:rsid w:val="00A21C4E"/>
    <w:rPr>
      <w:rFonts w:eastAsia="Times New Roman" w:cs="Helvetica-Light"/>
      <w:b/>
      <w:bCs/>
      <w:color w:val="2C5A77"/>
      <w:sz w:val="40"/>
      <w:szCs w:val="28"/>
    </w:rPr>
  </w:style>
  <w:style w:type="character" w:customStyle="1" w:styleId="Heading2Char">
    <w:name w:val="Heading 2 Char"/>
    <w:aliases w:val="H2 Numb Char"/>
    <w:link w:val="Heading2"/>
    <w:rsid w:val="00A21C4E"/>
    <w:rPr>
      <w:rFonts w:eastAsia="Times New Roman" w:cs="Helvetica-Light"/>
      <w:b/>
      <w:bCs/>
      <w:color w:val="000000"/>
      <w:sz w:val="32"/>
      <w:szCs w:val="26"/>
    </w:rPr>
  </w:style>
  <w:style w:type="character" w:customStyle="1" w:styleId="Heading3Char">
    <w:name w:val="Heading 3 Char"/>
    <w:aliases w:val="H3 Numb Char"/>
    <w:link w:val="Heading3"/>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rsid w:val="0001341B"/>
    <w:rPr>
      <w:rFonts w:eastAsia="Times New Roman" w:cs="Arial"/>
      <w:b/>
      <w:bCs/>
      <w:i/>
      <w:iCs/>
      <w:sz w:val="26"/>
      <w:szCs w:val="26"/>
    </w:rPr>
  </w:style>
  <w:style w:type="character" w:customStyle="1" w:styleId="Heading6Char">
    <w:name w:val="Heading 6 Char"/>
    <w:link w:val="Heading6"/>
    <w:rsid w:val="0001341B"/>
    <w:rPr>
      <w:rFonts w:eastAsia="Times New Roman"/>
      <w:b/>
      <w:sz w:val="24"/>
      <w:shd w:val="pct10" w:color="auto" w:fill="auto"/>
    </w:rPr>
  </w:style>
  <w:style w:type="character" w:customStyle="1" w:styleId="Heading7Char">
    <w:name w:val="Heading 7 Char"/>
    <w:link w:val="Heading7"/>
    <w:rsid w:val="0001341B"/>
    <w:rPr>
      <w:rFonts w:eastAsia="Times New Roman"/>
      <w:b/>
      <w:sz w:val="24"/>
    </w:rPr>
  </w:style>
  <w:style w:type="character" w:customStyle="1" w:styleId="Heading8Char">
    <w:name w:val="Heading 8 Char"/>
    <w:link w:val="Heading8"/>
    <w:rsid w:val="0001341B"/>
    <w:rPr>
      <w:rFonts w:ascii="Times New Roman" w:eastAsia="Times New Roman" w:hAnsi="Times New Roman"/>
      <w:i/>
      <w:iCs/>
      <w:sz w:val="24"/>
      <w:szCs w:val="24"/>
    </w:rPr>
  </w:style>
  <w:style w:type="character" w:customStyle="1" w:styleId="Heading9Char">
    <w:name w:val="Heading 9 Char"/>
    <w:link w:val="Heading9"/>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5"/>
      </w:numPr>
      <w:autoSpaceDE/>
      <w:autoSpaceDN/>
      <w:adjustRightInd/>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384EE4"/>
    <w:pPr>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customStyle="1" w:styleId="UnresolvedMention1">
    <w:name w:val="Unresolved Mention1"/>
    <w:uiPriority w:val="99"/>
    <w:semiHidden/>
    <w:unhideWhenUsed/>
    <w:rsid w:val="00CE7E1A"/>
    <w:rPr>
      <w:color w:val="605E5C"/>
      <w:shd w:val="clear" w:color="auto" w:fill="E1DFDD"/>
    </w:rPr>
  </w:style>
  <w:style w:type="character" w:styleId="CommentReference">
    <w:name w:val="annotation reference"/>
    <w:uiPriority w:val="99"/>
    <w:rsid w:val="003661B9"/>
    <w:rPr>
      <w:sz w:val="16"/>
      <w:szCs w:val="16"/>
    </w:rPr>
  </w:style>
  <w:style w:type="paragraph" w:styleId="CommentSubject">
    <w:name w:val="annotation subject"/>
    <w:basedOn w:val="CommentText"/>
    <w:next w:val="CommentText"/>
    <w:link w:val="CommentSubjectChar"/>
    <w:semiHidden/>
    <w:unhideWhenUsed/>
    <w:rsid w:val="003661B9"/>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link w:val="CommentSubject"/>
    <w:semiHidden/>
    <w:rsid w:val="003661B9"/>
    <w:rPr>
      <w:rFonts w:eastAsia="Calibri" w:cs="Helvetica-Light"/>
      <w:b/>
      <w:bCs/>
      <w:color w:val="000000"/>
      <w:sz w:val="20"/>
      <w:szCs w:val="20"/>
      <w:lang w:eastAsia="en-US"/>
    </w:rPr>
  </w:style>
  <w:style w:type="paragraph" w:customStyle="1" w:styleId="Pa23">
    <w:name w:val="Pa23"/>
    <w:basedOn w:val="Normal"/>
    <w:next w:val="Normal"/>
    <w:uiPriority w:val="99"/>
    <w:rsid w:val="003661B9"/>
    <w:pPr>
      <w:spacing w:after="0" w:line="201" w:lineRule="atLeast"/>
      <w:jc w:val="left"/>
    </w:pPr>
    <w:rPr>
      <w:rFonts w:ascii="HelveticaNeue MediumCond" w:eastAsia="Cambria" w:hAnsi="HelveticaNeue MediumCond" w:cs="Times New Roman"/>
      <w:color w:val="auto"/>
      <w:lang w:eastAsia="en-GB"/>
    </w:rPr>
  </w:style>
  <w:style w:type="paragraph" w:customStyle="1" w:styleId="Default">
    <w:name w:val="Default"/>
    <w:rsid w:val="00BB233B"/>
    <w:pPr>
      <w:widowControl w:val="0"/>
      <w:autoSpaceDE w:val="0"/>
      <w:autoSpaceDN w:val="0"/>
      <w:adjustRightInd w:val="0"/>
    </w:pPr>
    <w:rPr>
      <w:rFonts w:eastAsia="Times New Roman" w:cs="Arial"/>
      <w:color w:val="000000"/>
      <w:sz w:val="24"/>
      <w:szCs w:val="24"/>
    </w:rPr>
  </w:style>
  <w:style w:type="paragraph" w:styleId="TOCHeading">
    <w:name w:val="TOC Heading"/>
    <w:basedOn w:val="Heading1"/>
    <w:next w:val="Normal"/>
    <w:uiPriority w:val="39"/>
    <w:unhideWhenUsed/>
    <w:qFormat/>
    <w:rsid w:val="00384EE4"/>
    <w:pPr>
      <w:keepLines/>
      <w:pageBreakBefore w:val="0"/>
      <w:numPr>
        <w:numId w:val="0"/>
      </w:numPr>
      <w:autoSpaceDE/>
      <w:autoSpaceDN/>
      <w:adjustRightInd/>
      <w:spacing w:before="240" w:after="0" w:line="259" w:lineRule="auto"/>
      <w:jc w:val="left"/>
      <w:outlineLvl w:val="9"/>
    </w:pPr>
    <w:rPr>
      <w:rFonts w:ascii="Calibri Light" w:hAnsi="Calibri Light" w:cs="Times New Roman"/>
      <w:b w:val="0"/>
      <w:bCs w:val="0"/>
      <w:color w:val="2F5496"/>
      <w:sz w:val="32"/>
      <w:szCs w:val="32"/>
      <w:lang w:val="en-US" w:eastAsia="en-US"/>
    </w:rPr>
  </w:style>
  <w:style w:type="character" w:customStyle="1" w:styleId="ykmvie">
    <w:name w:val="ykmvie"/>
    <w:basedOn w:val="DefaultParagraphFont"/>
    <w:rsid w:val="00AF12CB"/>
  </w:style>
  <w:style w:type="paragraph" w:styleId="TableofFigures">
    <w:name w:val="table of figures"/>
    <w:basedOn w:val="Normal"/>
    <w:next w:val="Normal"/>
    <w:uiPriority w:val="99"/>
    <w:unhideWhenUsed/>
    <w:rsid w:val="005518E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ancashire.gov.uk/flooding/drains-and-sewers/alterations-to-a-watercour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ancashire.gov.uk/council/strategies-policies-plans/roads-parking-and-travel/highway-asset-management-in-lancashire/codes-of-practice/palette-of-material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ancashire.gov.uk/flooding/drains-and-sewers/alterations-to-a-watercour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flood-risk-activities-environmental-permits" TargetMode="External"/><Relationship Id="rId20" Type="http://schemas.openxmlformats.org/officeDocument/2006/relationships/hyperlink" Target="https://www.lancashire.gov.uk/council/strategies-policies-plans/roads-parking-and-travel/highway-asset-management-in-lancashire/codes-of-practice/skid-resistance-code-of-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ancashire.gov.uk/media/571381/The-Lancashire-Permit-Scheme-Document-V-1-3-17th-July-14.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lancashire.gov.uk/council/strategies-policies-plans/roads-parking-and-travel/highway-asset-management-in-lancashire/codes-of-practice/palette-of-materi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ancashire.gov.uk/council/strategies-policies-plans/roads-parking-and-travel/highway-asset-management-in-lancashire/codes-of-practice/vehicle-restraint-syste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4" ma:contentTypeDescription="Create a new document." ma:contentTypeScope="" ma:versionID="735a506293ef37ef0e14a377af0f6d4f">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8dc099c7bee52944fe1169b08df78188"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BD514-0BE8-441F-9A16-95638FA257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94E07-B0C4-4FB0-827F-D37739922069}">
  <ds:schemaRefs>
    <ds:schemaRef ds:uri="http://schemas.microsoft.com/sharepoint/v3/contenttype/forms"/>
  </ds:schemaRefs>
</ds:datastoreItem>
</file>

<file path=customXml/itemProps3.xml><?xml version="1.0" encoding="utf-8"?>
<ds:datastoreItem xmlns:ds="http://schemas.openxmlformats.org/officeDocument/2006/customXml" ds:itemID="{8F7E10DE-51F8-4DBB-844D-80C5099B7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0D26E-E6CB-475D-A675-B91F8FEC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3</TotalTime>
  <Pages>59</Pages>
  <Words>19266</Words>
  <Characters>109818</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Alker, Craig</cp:lastModifiedBy>
  <cp:revision>6</cp:revision>
  <cp:lastPrinted>2022-08-16T14:56:00Z</cp:lastPrinted>
  <dcterms:created xsi:type="dcterms:W3CDTF">2023-01-04T15:45:00Z</dcterms:created>
  <dcterms:modified xsi:type="dcterms:W3CDTF">2023-01-06T11:45:00Z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